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11A46" w14:textId="77777777" w:rsidR="005B6418" w:rsidRPr="00A20A17" w:rsidRDefault="005B6418" w:rsidP="005B6418">
      <w:pPr>
        <w:spacing w:after="160" w:line="259" w:lineRule="auto"/>
        <w:rPr>
          <w:rFonts w:eastAsia="Calibri" w:cs="Arial"/>
          <w:b/>
          <w:bCs/>
          <w:sz w:val="28"/>
          <w:szCs w:val="28"/>
        </w:rPr>
      </w:pPr>
      <w:r w:rsidRPr="00FC34BD">
        <w:rPr>
          <w:b/>
          <w:sz w:val="28"/>
          <w:szCs w:val="28"/>
        </w:rPr>
        <w:t>Online supplementary file 2:</w:t>
      </w:r>
      <w:r w:rsidRPr="007E4793">
        <w:rPr>
          <w:b/>
          <w:sz w:val="24"/>
          <w:szCs w:val="24"/>
        </w:rPr>
        <w:t xml:space="preserve">    </w:t>
      </w:r>
      <w:r w:rsidRPr="14BB6337">
        <w:rPr>
          <w:rFonts w:eastAsia="Calibri" w:cs="Arial"/>
          <w:b/>
          <w:bCs/>
          <w:sz w:val="28"/>
          <w:szCs w:val="28"/>
        </w:rPr>
        <w:t xml:space="preserve">CPRD technical </w:t>
      </w:r>
      <w:r>
        <w:rPr>
          <w:rFonts w:eastAsia="Calibri" w:cs="Arial"/>
          <w:b/>
          <w:bCs/>
          <w:sz w:val="28"/>
          <w:szCs w:val="28"/>
        </w:rPr>
        <w:t>report</w:t>
      </w:r>
    </w:p>
    <w:p w14:paraId="2B49D389" w14:textId="77777777" w:rsidR="005B6418" w:rsidRPr="00A20A17" w:rsidRDefault="005B6418" w:rsidP="005B6418">
      <w:pPr>
        <w:numPr>
          <w:ilvl w:val="1"/>
          <w:numId w:val="1"/>
        </w:numPr>
        <w:spacing w:after="120" w:line="259" w:lineRule="auto"/>
        <w:ind w:left="284" w:hanging="338"/>
        <w:contextualSpacing/>
        <w:rPr>
          <w:rFonts w:eastAsia="Calibri" w:cs="Arial"/>
          <w:b/>
          <w:bCs/>
          <w:sz w:val="24"/>
        </w:rPr>
      </w:pPr>
      <w:r w:rsidRPr="00A20A17">
        <w:rPr>
          <w:rFonts w:eastAsia="Calibri" w:cs="Arial"/>
          <w:b/>
          <w:bCs/>
          <w:sz w:val="24"/>
        </w:rPr>
        <w:t>LDL-C missingness approach</w:t>
      </w:r>
    </w:p>
    <w:p w14:paraId="4A44FC05" w14:textId="77777777" w:rsidR="005B6418" w:rsidRPr="00A20A17" w:rsidRDefault="005B6418" w:rsidP="005B6418">
      <w:pPr>
        <w:spacing w:after="160" w:line="259" w:lineRule="auto"/>
        <w:rPr>
          <w:rFonts w:eastAsia="Calibri" w:cs="Arial"/>
          <w:bCs/>
        </w:rPr>
      </w:pPr>
      <w:r w:rsidRPr="00A20A17">
        <w:rPr>
          <w:rFonts w:eastAsia="Calibri" w:cs="Arial"/>
          <w:bCs/>
        </w:rPr>
        <w:t xml:space="preserve">To assess how LDL-C levels varied across time, 2 mutually exclusive time periods of analysis were defined, selecting for each of these periods a corresponding lipid measurement. </w:t>
      </w:r>
    </w:p>
    <w:p w14:paraId="53853012" w14:textId="77777777" w:rsidR="005B6418" w:rsidRPr="00A20A17" w:rsidRDefault="005B6418" w:rsidP="005B6418">
      <w:pPr>
        <w:numPr>
          <w:ilvl w:val="0"/>
          <w:numId w:val="2"/>
        </w:numPr>
        <w:spacing w:after="160" w:line="259" w:lineRule="auto"/>
        <w:contextualSpacing/>
        <w:rPr>
          <w:rFonts w:eastAsia="Calibri" w:cs="Arial"/>
          <w:bCs/>
        </w:rPr>
      </w:pPr>
      <w:r w:rsidRPr="00A20A17">
        <w:rPr>
          <w:rFonts w:eastAsia="Calibri" w:cs="Arial"/>
          <w:bCs/>
        </w:rPr>
        <w:t xml:space="preserve">Period 1 (P1 or baseline) was defined with the closest LDL-C, total cholesterol (TC), triglycerides (TG) and HDL-C measurements prior to FH diagnosis for the ‘newly treated’ and ‘untreated’ subgroups, or prior to first prescription date for the ‘treatment retainers’ subgroup. </w:t>
      </w:r>
    </w:p>
    <w:p w14:paraId="3791FDBA" w14:textId="77777777" w:rsidR="005B6418" w:rsidRPr="00A20A17" w:rsidRDefault="005B6418" w:rsidP="005B6418">
      <w:pPr>
        <w:numPr>
          <w:ilvl w:val="0"/>
          <w:numId w:val="2"/>
        </w:numPr>
        <w:spacing w:after="160" w:line="259" w:lineRule="auto"/>
        <w:contextualSpacing/>
        <w:rPr>
          <w:rFonts w:eastAsia="Calibri" w:cs="Arial"/>
        </w:rPr>
      </w:pPr>
      <w:r w:rsidRPr="00A20A17">
        <w:rPr>
          <w:rFonts w:eastAsia="Calibri" w:cs="Arial"/>
        </w:rPr>
        <w:t xml:space="preserve">Period 2 (P2) was defined as the period between 3 months and 2 years from FH diagnosis for the ‘newly treated’ and ‘untreated’ subgroups (or first prescription for the ‘treatment retainers’ subgroup), with the closest to 2 years LDL-C, TC, TG and HDL-C measurements being selected. </w:t>
      </w:r>
    </w:p>
    <w:p w14:paraId="76BFA494" w14:textId="77777777" w:rsidR="005B6418" w:rsidRPr="00A20A17" w:rsidRDefault="005B6418" w:rsidP="005B6418">
      <w:pPr>
        <w:spacing w:after="160" w:line="259" w:lineRule="auto"/>
        <w:rPr>
          <w:rFonts w:eastAsia="Calibri" w:cs="Arial"/>
        </w:rPr>
      </w:pPr>
      <w:r w:rsidRPr="00A20A17">
        <w:rPr>
          <w:rFonts w:eastAsia="Calibri" w:cs="Arial"/>
        </w:rPr>
        <w:t xml:space="preserve">The presence of lipid measurements with LDL-C missing was tackled through the use of the Friedewald equation </w:t>
      </w:r>
      <w:r w:rsidRPr="00A20A17">
        <w:rPr>
          <w:rFonts w:eastAsia="Calibri" w:cs="Arial"/>
        </w:rPr>
        <w:fldChar w:fldCharType="begin"/>
      </w:r>
      <w:r w:rsidRPr="00A20A17">
        <w:rPr>
          <w:rFonts w:eastAsia="Calibri" w:cs="Arial"/>
        </w:rPr>
        <w:instrText xml:space="preserve"> ADDIN EN.CITE &lt;EndNote&gt;&lt;Cite&gt;&lt;Author&gt;Friedewald&lt;/Author&gt;&lt;Year&gt;1972&lt;/Year&gt;&lt;IDText&gt;Estimation of the concentration of low-density lipoprotein cholesterol in plasma, without use of the preparative ultracentrifuge.&lt;/IDText&gt;&lt;DisplayText&gt;(1)&lt;/DisplayText&gt;&lt;record&gt;&lt;titles&gt;&lt;title&gt;Estimation of the concentration of low-density lipoprotein cholesterol in plasma, without use of the preparative ultracentrifuge.&lt;/title&gt;&lt;secondary-title&gt;Clinical chemistry&lt;/secondary-title&gt;&lt;/titles&gt;&lt;pages&gt;499-502&lt;/pages&gt;&lt;contributors&gt;&lt;authors&gt;&lt;author&gt;Friedewald, W. T.&lt;/author&gt;&lt;author&gt;Levy, R. I.&lt;/author&gt;&lt;author&gt;Fredrickson, D. S.&lt;/author&gt;&lt;/authors&gt;&lt;/contributors&gt;&lt;added-date format="utc"&gt;1621869222&lt;/added-date&gt;&lt;ref-type name="Generic"&gt;13&lt;/ref-type&gt;&lt;dates&gt;&lt;year&gt;1972&lt;/year&gt;&lt;/dates&gt;&lt;rec-number&gt;203&lt;/rec-number&gt;&lt;publisher&gt;Oxford Academic&lt;/publisher&gt;&lt;last-updated-date format="utc"&gt;1621869222&lt;/last-updated-date&gt;&lt;accession-num&gt;4337382&lt;/accession-num&gt;&lt;electronic-resource-num&gt;10.1093/clinchem/18.6.499&lt;/electronic-resource-num&gt;&lt;volume&gt;18&lt;/volume&gt;&lt;/record&gt;&lt;/Cite&gt;&lt;/EndNote&gt;</w:instrText>
      </w:r>
      <w:r w:rsidRPr="00A20A17">
        <w:rPr>
          <w:rFonts w:eastAsia="Calibri" w:cs="Arial"/>
        </w:rPr>
        <w:fldChar w:fldCharType="separate"/>
      </w:r>
      <w:r w:rsidRPr="00A20A17">
        <w:rPr>
          <w:rFonts w:eastAsia="Calibri" w:cs="Arial"/>
          <w:noProof/>
        </w:rPr>
        <w:t>(1)</w:t>
      </w:r>
      <w:r w:rsidRPr="00A20A17">
        <w:rPr>
          <w:rFonts w:eastAsia="Calibri" w:cs="Arial"/>
        </w:rPr>
        <w:fldChar w:fldCharType="end"/>
      </w:r>
      <w:r w:rsidRPr="00A20A17">
        <w:rPr>
          <w:rFonts w:eastAsia="Calibri" w:cs="Arial"/>
        </w:rPr>
        <w:t xml:space="preserve">. This was possible given the availability of TC, TG and HDL-C measurements, which enabled the use of this calculated method to obtain missing LDL-C measurements. The Friedewald equation was initially applied to measurements collected on the same date (that is, on day </w:t>
      </w:r>
      <w:r w:rsidRPr="00A20A17">
        <w:rPr>
          <w:rFonts w:eastAsia="Calibri" w:cs="Arial"/>
          <w:i/>
          <w:iCs/>
        </w:rPr>
        <w:t>A</w:t>
      </w:r>
      <w:r w:rsidRPr="00A20A17">
        <w:rPr>
          <w:rFonts w:eastAsia="Calibri" w:cs="Arial"/>
        </w:rPr>
        <w:t xml:space="preserve"> and for FH patient </w:t>
      </w:r>
      <w:r w:rsidRPr="00A20A17">
        <w:rPr>
          <w:rFonts w:eastAsia="Calibri" w:cs="Arial"/>
          <w:i/>
          <w:iCs/>
        </w:rPr>
        <w:t>i</w:t>
      </w:r>
      <w:r w:rsidRPr="00A20A17">
        <w:rPr>
          <w:rFonts w:eastAsia="Calibri" w:cs="Arial"/>
        </w:rPr>
        <w:t>, LDL-C</w:t>
      </w:r>
      <w:r w:rsidRPr="00A20A17">
        <w:rPr>
          <w:rFonts w:eastAsia="Calibri" w:cs="Arial"/>
          <w:i/>
          <w:iCs/>
          <w:vertAlign w:val="subscript"/>
        </w:rPr>
        <w:t>Ai</w:t>
      </w:r>
      <w:r w:rsidRPr="00A20A17">
        <w:rPr>
          <w:rFonts w:eastAsia="Calibri" w:cs="Arial"/>
        </w:rPr>
        <w:t xml:space="preserve"> was missing and was derived through TC</w:t>
      </w:r>
      <w:r w:rsidRPr="00A20A17">
        <w:rPr>
          <w:rFonts w:eastAsia="Calibri" w:cs="Arial"/>
          <w:i/>
          <w:iCs/>
          <w:vertAlign w:val="subscript"/>
        </w:rPr>
        <w:t>Ai</w:t>
      </w:r>
      <w:r w:rsidRPr="00A20A17">
        <w:rPr>
          <w:rFonts w:eastAsia="Calibri" w:cs="Arial"/>
        </w:rPr>
        <w:t>, TG</w:t>
      </w:r>
      <w:r w:rsidRPr="00A20A17">
        <w:rPr>
          <w:rFonts w:eastAsia="Calibri" w:cs="Arial"/>
          <w:i/>
          <w:iCs/>
          <w:vertAlign w:val="subscript"/>
        </w:rPr>
        <w:t>Ai</w:t>
      </w:r>
      <w:r w:rsidRPr="00A20A17">
        <w:rPr>
          <w:rFonts w:eastAsia="Calibri" w:cs="Arial"/>
        </w:rPr>
        <w:t xml:space="preserve"> and HDL-C</w:t>
      </w:r>
      <w:r w:rsidRPr="00A20A17">
        <w:rPr>
          <w:rFonts w:eastAsia="Calibri" w:cs="Arial"/>
          <w:i/>
          <w:iCs/>
          <w:vertAlign w:val="subscript"/>
        </w:rPr>
        <w:t>Ai</w:t>
      </w:r>
      <w:r w:rsidRPr="00A20A17">
        <w:rPr>
          <w:rFonts w:eastAsia="Calibri" w:cs="Arial"/>
        </w:rPr>
        <w:t xml:space="preserve"> measured on that same day, </w:t>
      </w:r>
      <w:r w:rsidRPr="00A20A17">
        <w:rPr>
          <w:rFonts w:eastAsia="Calibri" w:cs="Arial"/>
          <w:i/>
          <w:iCs/>
        </w:rPr>
        <w:t>A</w:t>
      </w:r>
      <w:r w:rsidRPr="00A20A17">
        <w:rPr>
          <w:rFonts w:eastAsia="Calibri" w:cs="Arial"/>
        </w:rPr>
        <w:t xml:space="preserve">). Subsequently it was applied according to time periods (that is, and for example, if no LDL-C measurement was available for period </w:t>
      </w:r>
      <w:r w:rsidRPr="00A20A17">
        <w:rPr>
          <w:rFonts w:eastAsia="Calibri" w:cs="Arial"/>
          <w:i/>
          <w:iCs/>
        </w:rPr>
        <w:t xml:space="preserve">2 </w:t>
      </w:r>
      <w:r w:rsidRPr="00A20A17">
        <w:rPr>
          <w:rFonts w:eastAsia="Calibri" w:cs="Arial"/>
        </w:rPr>
        <w:t xml:space="preserve">for FH patient </w:t>
      </w:r>
      <w:r w:rsidRPr="00A20A17">
        <w:rPr>
          <w:rFonts w:eastAsia="Calibri" w:cs="Arial"/>
          <w:i/>
          <w:iCs/>
        </w:rPr>
        <w:t>i</w:t>
      </w:r>
      <w:r w:rsidRPr="00A20A17">
        <w:rPr>
          <w:rFonts w:eastAsia="Calibri" w:cs="Arial"/>
        </w:rPr>
        <w:t>, this was derived through TC</w:t>
      </w:r>
      <w:r w:rsidRPr="00A20A17">
        <w:rPr>
          <w:rFonts w:eastAsia="Calibri" w:cs="Arial"/>
          <w:i/>
          <w:iCs/>
          <w:vertAlign w:val="subscript"/>
        </w:rPr>
        <w:t>2i</w:t>
      </w:r>
      <w:r w:rsidRPr="00A20A17">
        <w:rPr>
          <w:rFonts w:eastAsia="Calibri" w:cs="Arial"/>
        </w:rPr>
        <w:t>, TG</w:t>
      </w:r>
      <w:r w:rsidRPr="00A20A17">
        <w:rPr>
          <w:rFonts w:eastAsia="Calibri" w:cs="Arial"/>
          <w:i/>
          <w:iCs/>
          <w:vertAlign w:val="subscript"/>
        </w:rPr>
        <w:t>2i</w:t>
      </w:r>
      <w:r w:rsidRPr="00A20A17">
        <w:rPr>
          <w:rFonts w:eastAsia="Calibri" w:cs="Arial"/>
        </w:rPr>
        <w:t xml:space="preserve"> and HDL-C</w:t>
      </w:r>
      <w:r w:rsidRPr="00A20A17">
        <w:rPr>
          <w:rFonts w:eastAsia="Calibri" w:cs="Arial"/>
          <w:i/>
          <w:iCs/>
          <w:vertAlign w:val="subscript"/>
        </w:rPr>
        <w:t>2i</w:t>
      </w:r>
      <w:r w:rsidRPr="00A20A17">
        <w:rPr>
          <w:rFonts w:eastAsia="Calibri" w:cs="Arial"/>
        </w:rPr>
        <w:t xml:space="preserve"> selected for period </w:t>
      </w:r>
      <w:r w:rsidRPr="00A20A17">
        <w:rPr>
          <w:rFonts w:eastAsia="Calibri" w:cs="Arial"/>
          <w:i/>
          <w:iCs/>
        </w:rPr>
        <w:t>2</w:t>
      </w:r>
      <w:r w:rsidRPr="00A20A17">
        <w:rPr>
          <w:rFonts w:eastAsia="Calibri" w:cs="Arial"/>
        </w:rPr>
        <w:t xml:space="preserve"> for patient </w:t>
      </w:r>
      <w:r w:rsidRPr="00A20A17">
        <w:rPr>
          <w:rFonts w:eastAsia="Calibri" w:cs="Arial"/>
          <w:i/>
          <w:iCs/>
        </w:rPr>
        <w:t>i</w:t>
      </w:r>
      <w:r w:rsidRPr="00A20A17">
        <w:rPr>
          <w:rFonts w:eastAsia="Calibri" w:cs="Arial"/>
        </w:rPr>
        <w:t xml:space="preserve">, if existing). A high level of missingness for LDL-C measurements across the 2 periods was still observed after applying the Friedewald equation. </w:t>
      </w:r>
    </w:p>
    <w:p w14:paraId="3119C411" w14:textId="77777777" w:rsidR="005B6418" w:rsidRPr="00A20A17" w:rsidRDefault="005B6418" w:rsidP="005B6418">
      <w:pPr>
        <w:spacing w:after="160" w:line="259" w:lineRule="auto"/>
        <w:rPr>
          <w:rFonts w:eastAsia="Calibri" w:cs="Arial"/>
        </w:rPr>
      </w:pPr>
      <w:r w:rsidRPr="00A20A17">
        <w:rPr>
          <w:rFonts w:eastAsia="Calibri" w:cs="Arial"/>
        </w:rPr>
        <w:t xml:space="preserve">To tackle this issue, and particularly for missing baseline LDL-C measurements, an ‘alternative’ Friedewald equation was developed that considers: a) the pre-treatment TC; b) the lowest post-treatment HDL-C if pre-treatment HDL-C was not available (under the assumption that FH patients have normal levels of HDL-C and that the effect of LLTs on HDL-C is small </w:t>
      </w:r>
      <w:r w:rsidRPr="00A20A17">
        <w:rPr>
          <w:rFonts w:eastAsia="Calibri" w:cs="Arial"/>
        </w:rPr>
        <w:fldChar w:fldCharType="begin"/>
      </w:r>
      <w:r w:rsidRPr="00A20A17">
        <w:rPr>
          <w:rFonts w:eastAsia="Calibri" w:cs="Arial"/>
        </w:rPr>
        <w:instrText xml:space="preserve"> ADDIN EN.CITE &lt;EndNote&gt;&lt;Cite&gt;&lt;Author&gt;McTaggart&lt;/Author&gt;&lt;Year&gt;2008&lt;/Year&gt;&lt;IDText&gt;Effects of statins on high-density lipoproteins: a potential contribution to cardiovascular benefit&lt;/IDText&gt;&lt;DisplayText&gt;(2)&lt;/DisplayText&gt;&lt;record&gt;&lt;dates&gt;&lt;pub-dates&gt;&lt;date&gt;Aug&lt;/date&gt;&lt;/pub-dates&gt;&lt;year&gt;2008&lt;/year&gt;&lt;/dates&gt;&lt;keywords&gt;&lt;keyword&gt;Apolipoprotein A-I&lt;/keyword&gt;&lt;keyword&gt;Biomarkers&lt;/keyword&gt;&lt;keyword&gt;Cardiovascular Diseases&lt;/keyword&gt;&lt;keyword&gt;Cholesterol Ester Transfer Proteins&lt;/keyword&gt;&lt;keyword&gt;Cholesterol, HDL&lt;/keyword&gt;&lt;keyword&gt;Dose-Response Relationship, Drug&lt;/keyword&gt;&lt;keyword&gt;Humans&lt;/keyword&gt;&lt;keyword&gt;Hydroxymethylglutaryl-CoA Reductase Inhibitors&lt;/keyword&gt;&lt;keyword&gt;Hyperlipidemias&lt;/keyword&gt;&lt;keyword&gt;Lipoproteins, LDL&lt;/keyword&gt;&lt;keyword&gt;Treatment Outcome&lt;/keyword&gt;&lt;/keywords&gt;&lt;urls&gt;&lt;related-urls&gt;&lt;url&gt;https://www.ncbi.nlm.nih.gov/pubmed/18553127&lt;/url&gt;&lt;/related-urls&gt;&lt;/urls&gt;&lt;isbn&gt;0920-3206&lt;/isbn&gt;&lt;custom2&gt;PMC2493531&lt;/custom2&gt;&lt;titles&gt;&lt;title&gt;Effects of statins on high-density lipoproteins: a potential contribution to cardiovascular benefit&lt;/title&gt;&lt;secondary-title&gt;Cardiovasc Drugs Ther&lt;/secondary-title&gt;&lt;/titles&gt;&lt;pages&gt;321-38&lt;/pages&gt;&lt;number&gt;4&lt;/number&gt;&lt;contributors&gt;&lt;authors&gt;&lt;author&gt;McTaggart, F.&lt;/author&gt;&lt;author&gt;Jones, P.&lt;/author&gt;&lt;/authors&gt;&lt;/contributors&gt;&lt;edition&gt;2008/06/14&lt;/edition&gt;&lt;language&gt;eng&lt;/language&gt;&lt;added-date format="utc"&gt;1622719570&lt;/added-date&gt;&lt;ref-type name="Journal Article"&gt;17&lt;/ref-type&gt;&lt;rec-number&gt;232&lt;/rec-number&gt;&lt;last-updated-date format="utc"&gt;1622719570&lt;/last-updated-date&gt;&lt;accession-num&gt;18553127&lt;/accession-num&gt;&lt;electronic-resource-num&gt;10.1007/s10557-008-6113-z&lt;/electronic-resource-num&gt;&lt;volume&gt;22&lt;/volume&gt;&lt;/record&gt;&lt;/Cite&gt;&lt;/EndNote&gt;</w:instrText>
      </w:r>
      <w:r w:rsidRPr="00A20A17">
        <w:rPr>
          <w:rFonts w:eastAsia="Calibri" w:cs="Arial"/>
        </w:rPr>
        <w:fldChar w:fldCharType="separate"/>
      </w:r>
      <w:r w:rsidRPr="00A20A17">
        <w:rPr>
          <w:rFonts w:eastAsia="Calibri" w:cs="Arial"/>
          <w:noProof/>
        </w:rPr>
        <w:t>(2)</w:t>
      </w:r>
      <w:r w:rsidRPr="00A20A17">
        <w:rPr>
          <w:rFonts w:eastAsia="Calibri" w:cs="Arial"/>
        </w:rPr>
        <w:fldChar w:fldCharType="end"/>
      </w:r>
      <w:r w:rsidRPr="00A20A17">
        <w:rPr>
          <w:rFonts w:eastAsia="Calibri" w:cs="Arial"/>
        </w:rPr>
        <w:t xml:space="preserve">); and c) the highest post-treatment TG if pre-treatment TG was not available (assuming that FH patients generally have normal levels of TG </w:t>
      </w:r>
      <w:r w:rsidRPr="00A20A17">
        <w:rPr>
          <w:rFonts w:eastAsia="Calibri" w:cs="Arial"/>
        </w:rPr>
        <w:fldChar w:fldCharType="begin">
          <w:fldData xml:space="preserve">PEVuZE5vdGU+PENpdGU+PEF1dGhvcj5GdXRlbWE8L0F1dGhvcj48WWVhcj4yMDE1PC9ZZWFyPjxJ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</w:fldData>
        </w:fldChar>
      </w:r>
      <w:r w:rsidRPr="00A20A17">
        <w:rPr>
          <w:rFonts w:eastAsia="Calibri" w:cs="Arial"/>
        </w:rPr>
        <w:instrText xml:space="preserve"> ADDIN EN.CITE </w:instrText>
      </w:r>
      <w:r w:rsidRPr="00A20A17">
        <w:rPr>
          <w:rFonts w:eastAsia="Calibri" w:cs="Arial"/>
        </w:rPr>
        <w:fldChar w:fldCharType="begin">
          <w:fldData xml:space="preserve">PEVuZE5vdGU+PENpdGU+PEF1dGhvcj5GdXRlbWE8L0F1dGhvcj48WWVhcj4yMDE1PC9ZZWFyPjxJ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</w:fldData>
        </w:fldChar>
      </w:r>
      <w:r w:rsidRPr="00A20A17">
        <w:rPr>
          <w:rFonts w:eastAsia="Calibri" w:cs="Arial"/>
        </w:rPr>
        <w:instrText xml:space="preserve"> ADDIN EN.CITE.DATA </w:instrText>
      </w:r>
      <w:r w:rsidRPr="00A20A17">
        <w:rPr>
          <w:rFonts w:eastAsia="Calibri" w:cs="Arial"/>
        </w:rPr>
      </w:r>
      <w:r w:rsidRPr="00A20A17">
        <w:rPr>
          <w:rFonts w:eastAsia="Calibri" w:cs="Arial"/>
        </w:rPr>
        <w:fldChar w:fldCharType="end"/>
      </w:r>
      <w:r w:rsidRPr="00A20A17">
        <w:rPr>
          <w:rFonts w:eastAsia="Calibri" w:cs="Arial"/>
        </w:rPr>
      </w:r>
      <w:r w:rsidRPr="00A20A17">
        <w:rPr>
          <w:rFonts w:eastAsia="Calibri" w:cs="Arial"/>
        </w:rPr>
        <w:fldChar w:fldCharType="separate"/>
      </w:r>
      <w:r w:rsidRPr="00A20A17">
        <w:rPr>
          <w:rFonts w:eastAsia="Calibri" w:cs="Arial"/>
          <w:noProof/>
        </w:rPr>
        <w:t>(3, 4)</w:t>
      </w:r>
      <w:r w:rsidRPr="00A20A17">
        <w:rPr>
          <w:rFonts w:eastAsia="Calibri" w:cs="Arial"/>
        </w:rPr>
        <w:fldChar w:fldCharType="end"/>
      </w:r>
      <w:r w:rsidRPr="00A20A17">
        <w:rPr>
          <w:rFonts w:eastAsia="Calibri" w:cs="Arial"/>
        </w:rPr>
        <w:t xml:space="preserve"> and that the effect of LLTs on TG is modest </w:t>
      </w:r>
      <w:r w:rsidRPr="00A20A17">
        <w:rPr>
          <w:rFonts w:eastAsia="Calibri" w:cs="Arial"/>
        </w:rPr>
        <w:fldChar w:fldCharType="begin"/>
      </w:r>
      <w:r w:rsidRPr="00A20A17">
        <w:rPr>
          <w:rFonts w:eastAsia="Calibri" w:cs="Arial"/>
        </w:rPr>
        <w:instrText xml:space="preserve"> ADDIN EN.CITE &lt;EndNote&gt;&lt;Cite&gt;&lt;Author&gt;NICE&lt;/Author&gt;&lt;Year&gt;2014&lt;/Year&gt;&lt;IDText&gt;Clinical guideline 181. Lipid modification: cardiovascular risk assessment and the modification of blood lipids for the primary and secondary prevention of cardiovascular disease&lt;/IDText&gt;&lt;DisplayText&gt;(5, 6)&lt;/DisplayText&gt;&lt;record&gt;&lt;titles&gt;&lt;title&gt;Clinical guideline 181. Lipid modification: cardiovascular risk assessment and the modification of blood lipids for the primary and secondary prevention of cardiovascular disease&lt;/title&gt;&lt;short-title&gt;Clinical guideline 181. Lipid modification: cardiovascular risk assessment and the modification of blood lipids for the primary and secondary prevention of cardiovascular disease&lt;/short-title&gt;&lt;/titles&gt;&lt;contributors&gt;&lt;authors&gt;&lt;author&gt;NICE&lt;/author&gt;&lt;/authors&gt;&lt;/contributors&gt;&lt;added-date format="utc"&gt;1603453281&lt;/added-date&gt;&lt;ref-type name="Report"&gt;27&lt;/ref-type&gt;&lt;dates&gt;&lt;year&gt;2014&lt;/year&gt;&lt;/dates&gt;&lt;rec-number&gt;62&lt;/rec-number&gt;&lt;last-updated-date format="utc"&gt;1603453281&lt;/last-updated-date&gt;&lt;/record&gt;&lt;/Cite&gt;&lt;Cite&gt;&lt;Author&gt;NICE&lt;/Author&gt;&lt;Year&gt;2019&lt;/Year&gt;&lt;IDText&gt;Clinical guideline 71: identification and management of familial hypercholesterolaemia&lt;/IDText&gt;&lt;record&gt;&lt;urls&gt;&lt;related-urls&gt;&lt;url&gt;https://www.nice.org.uk/guidance/cg71&lt;/url&gt;&lt;/related-urls&gt;&lt;/urls&gt;&lt;titles&gt;&lt;title&gt;Clinical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eastAsia="Calibri" w:cs="Arial"/>
        </w:rPr>
        <w:fldChar w:fldCharType="separate"/>
      </w:r>
      <w:r w:rsidRPr="00A20A17">
        <w:rPr>
          <w:rFonts w:eastAsia="Calibri" w:cs="Arial"/>
          <w:noProof/>
        </w:rPr>
        <w:t>(5, 6)</w:t>
      </w:r>
      <w:r w:rsidRPr="00A20A17">
        <w:rPr>
          <w:rFonts w:eastAsia="Calibri" w:cs="Arial"/>
        </w:rPr>
        <w:fldChar w:fldCharType="end"/>
      </w:r>
      <w:r w:rsidRPr="00A20A17">
        <w:rPr>
          <w:rFonts w:eastAsia="Calibri" w:cs="Arial"/>
        </w:rPr>
        <w:t xml:space="preserve">). Thus, the bespoke “alternative” Friedewald equation considers: [pre-treatment LDL-C] = [pre-treatment TC] - [post-treatment-lowest-HDL] - ([post-treatment-highest-TG] / 2.19), for [post-treatment-highest-TG]&gt;4.52 as per Friedewald equation requirements. </w:t>
      </w:r>
    </w:p>
    <w:p w14:paraId="44839538" w14:textId="77777777" w:rsidR="005B6418" w:rsidRPr="00A20A17" w:rsidRDefault="005B6418" w:rsidP="005B6418">
      <w:pPr>
        <w:spacing w:after="160" w:line="259" w:lineRule="auto"/>
        <w:rPr>
          <w:rFonts w:eastAsia="Calibri" w:cs="Arial"/>
        </w:rPr>
      </w:pPr>
      <w:r w:rsidRPr="00A20A17">
        <w:rPr>
          <w:rFonts w:eastAsia="Calibri" w:cs="Arial"/>
        </w:rPr>
        <w:t xml:space="preserve">A multivariate multiple imputation approach was considered in order to generate LDL-C values </w:t>
      </w:r>
      <w:r w:rsidRPr="00A20A17">
        <w:rPr>
          <w:rFonts w:eastAsia="Calibri" w:cs="Arial"/>
        </w:rPr>
        <w:fldChar w:fldCharType="begin"/>
      </w:r>
      <w:r w:rsidRPr="00A20A17">
        <w:rPr>
          <w:rFonts w:eastAsia="Calibri" w:cs="Arial"/>
        </w:rPr>
        <w:instrText xml:space="preserve"> ADDIN EN.CITE &lt;EndNote&gt;&lt;Cite&gt;&lt;Author&gt;van Buuren&lt;/Author&gt;&lt;Year&gt;2011&lt;/Year&gt;&lt;IDText&gt;mice: Multivariate Imputation by Chained Equations in R&lt;/IDText&gt;&lt;DisplayText&gt;(7)&lt;/DisplayText&gt;&lt;record&gt;&lt;dates&gt;&lt;pub-dates&gt;&lt;date&gt;2011-12-12&lt;/date&gt;&lt;/pub-dates&gt;&lt;year&gt;2011&lt;/year&gt;&lt;/dates&gt;&lt;urls&gt;&lt;related-urls&gt;&lt;url&gt;https://www.jstatsoft.org/v045/i03&lt;/url&gt;&lt;/related-urls&gt;&lt;/urls&gt;&lt;isbn&gt;1548-7660&lt;/isbn&gt;&lt;titles&gt;&lt;title&gt;mice: Multivariate Imputation by Chained Equations in R&lt;/title&gt;&lt;secondary-title&gt;2011&lt;/secondary-title&gt;&lt;short-title&gt;mice: Multivariate Imputation by Chained Equations in R&lt;/short-title&gt;&lt;/titles&gt;&lt;pages&gt;67&lt;/pages&gt;&lt;number&gt;3&lt;/number&gt;&lt;contributors&gt;&lt;authors&gt;&lt;author&gt;van Buuren, Stef&lt;/author&gt;&lt;author&gt;Groothuis-Oudshoorn, Karin&lt;/author&gt;&lt;/authors&gt;&lt;/contributors&gt;&lt;section&gt;1&lt;/section&gt;&lt;edition&gt;2011-12-12&lt;/edition&gt;&lt;added-date format="utc"&gt;1620904123&lt;/added-date&gt;&lt;ref-type name="Journal Article"&gt;17&lt;/ref-type&gt;&lt;rec-number&gt;150&lt;/rec-number&gt;&lt;last-updated-date format="utc"&gt;1620904123&lt;/last-updated-date&gt;&lt;electronic-resource-num&gt;10.18637/jss.v045.i03&lt;/electronic-resource-num&gt;&lt;volume&gt;45&lt;/volume&gt;&lt;/record&gt;&lt;/Cite&gt;&lt;/EndNote&gt;</w:instrText>
      </w:r>
      <w:r w:rsidRPr="00A20A17">
        <w:rPr>
          <w:rFonts w:eastAsia="Calibri" w:cs="Arial"/>
        </w:rPr>
        <w:fldChar w:fldCharType="separate"/>
      </w:r>
      <w:r w:rsidRPr="00A20A17">
        <w:rPr>
          <w:rFonts w:eastAsia="Calibri" w:cs="Arial"/>
          <w:noProof/>
        </w:rPr>
        <w:t>(7)</w:t>
      </w:r>
      <w:r w:rsidRPr="00A20A17">
        <w:rPr>
          <w:rFonts w:eastAsia="Calibri" w:cs="Arial"/>
        </w:rPr>
        <w:fldChar w:fldCharType="end"/>
      </w:r>
      <w:r w:rsidRPr="00A20A17">
        <w:rPr>
          <w:rFonts w:eastAsia="Calibri" w:cs="Arial"/>
        </w:rPr>
        <w:t xml:space="preserve">. This approach allowed accounting for the uncertainty around the true LDL-C values, and obtain approximately unbiased estimates. The key commonly applied assumption for the application of this imputation approach is that the missingness is not completely random, but that the propensity of missingness depends on the observed data, not the missing data itself – the so called Missing at Random (MAR) assumption. </w:t>
      </w:r>
    </w:p>
    <w:p w14:paraId="07006568" w14:textId="77777777" w:rsidR="005B6418" w:rsidRPr="00A20A17" w:rsidRDefault="005B6418" w:rsidP="005B6418">
      <w:pPr>
        <w:spacing w:after="160" w:line="259" w:lineRule="auto"/>
        <w:rPr>
          <w:rFonts w:eastAsia="Calibri" w:cs="Arial"/>
        </w:rPr>
      </w:pPr>
      <w:r w:rsidRPr="00A20A17">
        <w:rPr>
          <w:rFonts w:eastAsia="Calibri" w:cs="Arial"/>
        </w:rPr>
        <w:t xml:space="preserve">Following recent published recommendations on multiple imputation, the imputation process for the LDL-C response analysis was carried out separately by patient’ subgroups, that is, separately for the ‘untreated, the ‘newly treated’ and the ‘treatment retainers’ subgroups </w:t>
      </w:r>
      <w:r w:rsidRPr="00A20A17">
        <w:rPr>
          <w:rFonts w:eastAsia="Calibri" w:cs="Arial"/>
        </w:rPr>
        <w:fldChar w:fldCharType="begin"/>
      </w:r>
      <w:r w:rsidRPr="00A20A17">
        <w:rPr>
          <w:rFonts w:eastAsia="Calibri" w:cs="Arial"/>
        </w:rPr>
        <w:instrText xml:space="preserve"> ADDIN EN.CITE &lt;EndNote&gt;&lt;Cite&gt;&lt;Author&gt;Sullivan&lt;/Author&gt;&lt;Year&gt;2018&lt;/Year&gt;&lt;IDText&gt;Should multiple imputation be the method of choice for handling missing data in randomized trials?&lt;/IDText&gt;&lt;DisplayText&gt;(8)&lt;/DisplayText&gt;&lt;record&gt;&lt;dates&gt;&lt;pub-dates&gt;&lt;date&gt;09&lt;/date&gt;&lt;/pub-dates&gt;&lt;year&gt;2018&lt;/year&gt;&lt;/dates&gt;&lt;keywords&gt;&lt;keyword&gt;Bias&lt;/keyword&gt;&lt;keyword&gt;Computer Simulation&lt;/keyword&gt;&lt;keyword&gt;Data Interpretation, Statistical&lt;/keyword&gt;&lt;keyword&gt;Models, Statistical&lt;/keyword&gt;&lt;keyword&gt;Multivariate Analysis&lt;/keyword&gt;&lt;keyword&gt;Randomized Controlled Trials as Topic&lt;/keyword&gt;&lt;keyword&gt;Missing data&lt;/keyword&gt;&lt;keyword&gt;clinical trials&lt;/keyword&gt;&lt;keyword&gt;intention to treat&lt;/keyword&gt;&lt;keyword&gt;linear mixed model&lt;/keyword&gt;&lt;keyword&gt;multiple imputation&lt;/keyword&gt;&lt;/keywords&gt;&lt;urls&gt;&lt;related-urls&gt;&lt;url&gt;https://www.ncbi.nlm.nih.gov/pubmed/28034175&lt;/url&gt;&lt;/related-urls&gt;&lt;/urls&gt;&lt;isbn&gt;1477-0334&lt;/isbn&gt;&lt;custom2&gt;PMC5393436&lt;/custom2&gt;&lt;titles&gt;&lt;title&gt;Should multiple imputation be the method of choice for handling missing data in randomized trials?&lt;/title&gt;&lt;secondary-title&gt;Stat Methods Med Res&lt;/secondary-title&gt;&lt;/titles&gt;&lt;pages&gt;2610-2626&lt;/pages&gt;&lt;number&gt;9&lt;/number&gt;&lt;contributors&gt;&lt;authors&gt;&lt;author&gt;Sullivan, T. R.&lt;/author&gt;&lt;author&gt;White, I. R.&lt;/author&gt;&lt;author&gt;Salter, A. B.&lt;/author&gt;&lt;author&gt;Ryan, P.&lt;/author&gt;&lt;author&gt;Lee, K. J.&lt;/author&gt;&lt;/authors&gt;&lt;/contributors&gt;&lt;edition&gt;2016/12/19&lt;/edition&gt;&lt;language&gt;eng&lt;/language&gt;&lt;added-date format="utc"&gt;1622722542&lt;/added-date&gt;&lt;ref-type name="Journal Article"&gt;17&lt;/ref-type&gt;&lt;rec-number&gt;234&lt;/rec-number&gt;&lt;last-updated-date format="utc"&gt;1622722542&lt;/last-updated-date&gt;&lt;accession-num&gt;28034175&lt;/accession-num&gt;&lt;electronic-resource-num&gt;10.1177/0962280216683570&lt;/electronic-resource-num&gt;&lt;volume&gt;27&lt;/volume&gt;&lt;/record&gt;&lt;/Cite&gt;&lt;/EndNote&gt;</w:instrText>
      </w:r>
      <w:r w:rsidRPr="00A20A17">
        <w:rPr>
          <w:rFonts w:eastAsia="Calibri" w:cs="Arial"/>
        </w:rPr>
        <w:fldChar w:fldCharType="separate"/>
      </w:r>
      <w:r w:rsidRPr="00A20A17">
        <w:rPr>
          <w:rFonts w:eastAsia="Calibri" w:cs="Arial"/>
          <w:noProof/>
        </w:rPr>
        <w:t>(8)</w:t>
      </w:r>
      <w:r w:rsidRPr="00A20A17">
        <w:rPr>
          <w:rFonts w:eastAsia="Calibri" w:cs="Arial"/>
        </w:rPr>
        <w:fldChar w:fldCharType="end"/>
      </w:r>
      <w:r w:rsidRPr="00A20A17">
        <w:rPr>
          <w:rFonts w:eastAsia="Calibri" w:cs="Arial"/>
        </w:rPr>
        <w:t xml:space="preserve">. For the risk modelling analysis, imputation of LDL-C was only applied to the treated cohort (i.e. ‘newly treated’ and the ‘treatment retainers’ subgroups combined). The number of imputed datasets was estimated using a two-step approach, as recommended in recent guidance </w:t>
      </w:r>
      <w:r w:rsidRPr="00A20A17">
        <w:rPr>
          <w:rFonts w:eastAsia="Calibri" w:cs="Arial"/>
        </w:rPr>
        <w:fldChar w:fldCharType="begin"/>
      </w:r>
      <w:r w:rsidRPr="00A20A17">
        <w:rPr>
          <w:rFonts w:eastAsia="Calibri" w:cs="Arial"/>
        </w:rPr>
        <w:instrText xml:space="preserve"> ADDIN EN.CITE &lt;EndNote&gt;&lt;Cite&gt;&lt;Author&gt;von Hippel&lt;/Author&gt;&lt;Year&gt;2020&lt;/Year&gt;&lt;IDText&gt;How Many Imputations Do You Need? A Two-stage Calculation Using a Quadratic Rule&lt;/IDText&gt;&lt;DisplayText&gt;(9)&lt;/DisplayText&gt;&lt;record&gt;&lt;keywords&gt;&lt;keyword&gt;missing data,missing values,incomplete data,multiple imputation,imputation&lt;/keyword&gt;&lt;/keywords&gt;&lt;urls&gt;&lt;related-urls&gt;&lt;url&gt;https://journals.sagepub.com/doi/abs/10.1177/0049124117747303&lt;/url&gt;&lt;/related-urls&gt;&lt;/urls&gt;&lt;titles&gt;&lt;title&gt;How Many Imputations Do You Need? A Two-stage Calculation Using a Quadratic Rule&lt;/title&gt;&lt;secondary-title&gt;Sociological Methods &amp;amp; Research&lt;/secondary-title&gt;&lt;/titles&gt;&lt;pages&gt;699-718&lt;/pages&gt;&lt;number&gt;3&lt;/number&gt;&lt;contributors&gt;&lt;authors&gt;&lt;author&gt;von Hippel, Paul T.&lt;/author&gt;&lt;/authors&gt;&lt;/contributors&gt;&lt;added-date format="utc"&gt;1622722829&lt;/added-date&gt;&lt;ref-type name="Journal Article"&gt;17&lt;/ref-type&gt;&lt;dates&gt;&lt;year&gt;2020&lt;/year&gt;&lt;/dates&gt;&lt;rec-number&gt;235&lt;/rec-number&gt;&lt;last-updated-date format="utc"&gt;1622722829&lt;/last-updated-date&gt;&lt;electronic-resource-num&gt;10.1177/0049124117747303&lt;/electronic-resource-num&gt;&lt;volume&gt;49&lt;/volume&gt;&lt;/record&gt;&lt;/Cite&gt;&lt;/EndNote&gt;</w:instrText>
      </w:r>
      <w:r w:rsidRPr="00A20A17">
        <w:rPr>
          <w:rFonts w:eastAsia="Calibri" w:cs="Arial"/>
        </w:rPr>
        <w:fldChar w:fldCharType="separate"/>
      </w:r>
      <w:r w:rsidRPr="00A20A17">
        <w:rPr>
          <w:rFonts w:eastAsia="Calibri" w:cs="Arial"/>
          <w:noProof/>
        </w:rPr>
        <w:t>(9)</w:t>
      </w:r>
      <w:r w:rsidRPr="00A20A17">
        <w:rPr>
          <w:rFonts w:eastAsia="Calibri" w:cs="Arial"/>
        </w:rPr>
        <w:fldChar w:fldCharType="end"/>
      </w:r>
      <w:r w:rsidRPr="00A20A17">
        <w:rPr>
          <w:rFonts w:eastAsia="Calibri" w:cs="Arial"/>
        </w:rPr>
        <w:t xml:space="preserve">, and set to 34 imputed datasets. </w:t>
      </w:r>
    </w:p>
    <w:p w14:paraId="353EF503" w14:textId="77777777" w:rsidR="005B6418" w:rsidRPr="00A20A17" w:rsidRDefault="005B6418" w:rsidP="005B6418">
      <w:pPr>
        <w:spacing w:after="160" w:line="259" w:lineRule="auto"/>
        <w:rPr>
          <w:rFonts w:eastAsia="Calibri" w:cs="Arial"/>
        </w:rPr>
      </w:pPr>
      <w:r w:rsidRPr="00A20A17">
        <w:rPr>
          <w:rFonts w:eastAsia="Calibri" w:cs="Arial"/>
        </w:rPr>
        <w:lastRenderedPageBreak/>
        <w:t xml:space="preserve">The covariate set considered for the multiple imputation modelling was selected according to their use in key publications relating to: i) prediction of statin use </w:t>
      </w:r>
      <w:r w:rsidRPr="00A20A17">
        <w:rPr>
          <w:rFonts w:eastAsia="Calibri" w:cs="Arial"/>
        </w:rPr>
        <w:fldChar w:fldCharType="begin"/>
      </w:r>
      <w:r w:rsidRPr="00A20A17">
        <w:rPr>
          <w:rFonts w:eastAsia="Calibri" w:cs="Arial"/>
        </w:rPr>
        <w:instrText xml:space="preserve"> ADDIN EN.CITE &lt;EndNote&gt;&lt;Cite&gt;&lt;Author&gt;Wu&lt;/Author&gt;&lt;Year&gt;2013&lt;/Year&gt;&lt;IDText&gt;Patient factors influencing the prescribing of lipid lowering drugs for primary prevention of cardiovascular disease in UK general practice: a national retrospective cohort study&lt;/IDText&gt;&lt;DisplayText&gt;(10)&lt;/DisplayText&gt;&lt;record&gt;&lt;keywords&gt;&lt;keyword&gt;Adult&lt;/keyword&gt;&lt;keyword&gt;Aged&lt;/keyword&gt;&lt;keyword&gt;Cardiovascular Diseases&lt;/keyword&gt;&lt;keyword&gt;Drug Prescriptions&lt;/keyword&gt;&lt;keyword&gt;Female&lt;/keyword&gt;&lt;keyword&gt;General Practice&lt;/keyword&gt;&lt;keyword&gt;Humans&lt;/keyword&gt;&lt;keyword&gt;Hypolipidemic Agents&lt;/keyword&gt;&lt;keyword&gt;Male&lt;/keyword&gt;&lt;keyword&gt;Middle Aged&lt;/keyword&gt;&lt;keyword&gt;Multivariate Analysis&lt;/keyword&gt;&lt;keyword&gt;Odds Ratio&lt;/keyword&gt;&lt;keyword&gt;Practice Patterns, Physicians&amp;apos;&lt;/keyword&gt;&lt;keyword&gt;Primary Prevention&lt;/keyword&gt;&lt;keyword&gt;Retrospective Studies&lt;/keyword&gt;&lt;keyword&gt;Risk Factors&lt;/keyword&gt;&lt;keyword&gt;United Kingdom&lt;/keyword&gt;&lt;/keywords&gt;&lt;urls&gt;&lt;related-urls&gt;&lt;url&gt;https://www.ncbi.nlm.nih.gov/pubmed/23922649&lt;/url&gt;&lt;/related-urls&gt;&lt;/urls&gt;&lt;isbn&gt;1932-6203&lt;/isbn&gt;&lt;custom2&gt;PMC3724846&lt;/custom2&gt;&lt;titles&gt;&lt;title&gt;Patient factors influencing the prescribing of lipid lowering drugs for primary prevention of cardiovascular disease in UK general practice: a national retrospective cohort study&lt;/title&gt;&lt;secondary-title&gt;PLoS One&lt;/secondary-title&gt;&lt;/titles&gt;&lt;pages&gt;e67611&lt;/pages&gt;&lt;number&gt;7&lt;/number&gt;&lt;contributors&gt;&lt;authors&gt;&lt;author&gt;Wu, J.&lt;/author&gt;&lt;author&gt;Zhu, S.&lt;/author&gt;&lt;author&gt;Yao, G. L.&lt;/author&gt;&lt;author&gt;Mohammed, M. A.&lt;/author&gt;&lt;author&gt;Marshall, T.&lt;/author&gt;&lt;/authors&gt;&lt;/contributors&gt;&lt;edition&gt;2013/07/26&lt;/edition&gt;&lt;language&gt;eng&lt;/language&gt;&lt;added-date format="utc"&gt;1622722995&lt;/added-date&gt;&lt;ref-type name="Journal Article"&gt;17&lt;/ref-type&gt;&lt;dates&gt;&lt;year&gt;2013&lt;/year&gt;&lt;/dates&gt;&lt;rec-number&gt;236&lt;/rec-number&gt;&lt;last-updated-date format="utc"&gt;1622722995&lt;/last-updated-date&gt;&lt;accession-num&gt;23922649&lt;/accession-num&gt;&lt;electronic-resource-num&gt;10.1371/journal.pone.0067611&lt;/electronic-resource-num&gt;&lt;volume&gt;8&lt;/volume&gt;&lt;/record&gt;&lt;/Cite&gt;&lt;/EndNote&gt;</w:instrText>
      </w:r>
      <w:r w:rsidRPr="00A20A17">
        <w:rPr>
          <w:rFonts w:eastAsia="Calibri" w:cs="Arial"/>
        </w:rPr>
        <w:fldChar w:fldCharType="separate"/>
      </w:r>
      <w:r w:rsidRPr="00A20A17">
        <w:rPr>
          <w:rFonts w:eastAsia="Calibri" w:cs="Arial"/>
          <w:noProof/>
        </w:rPr>
        <w:t>(10)</w:t>
      </w:r>
      <w:r w:rsidRPr="00A20A17">
        <w:rPr>
          <w:rFonts w:eastAsia="Calibri" w:cs="Arial"/>
        </w:rPr>
        <w:fldChar w:fldCharType="end"/>
      </w:r>
      <w:r w:rsidRPr="00A20A17">
        <w:rPr>
          <w:rFonts w:eastAsia="Calibri" w:cs="Arial"/>
        </w:rPr>
        <w:t xml:space="preserve">; ii) predictors of statin adherence </w:t>
      </w:r>
      <w:r w:rsidRPr="00A20A17">
        <w:rPr>
          <w:rFonts w:eastAsia="Calibri" w:cs="Arial"/>
        </w:rPr>
        <w:fldChar w:fldCharType="begin">
          <w:fldData xml:space="preserve">PEVuZE5vdGU+PENpdGU+PEF1dGhvcj5DaG93ZGh1cnk8L0F1dGhvcj48WWVhcj4yMDEzPC9ZZWFy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=
</w:fldData>
        </w:fldChar>
      </w:r>
      <w:r w:rsidRPr="00A20A17">
        <w:rPr>
          <w:rFonts w:eastAsia="Calibri" w:cs="Arial"/>
        </w:rPr>
        <w:instrText xml:space="preserve"> ADDIN EN.CITE </w:instrText>
      </w:r>
      <w:r w:rsidRPr="00A20A17">
        <w:rPr>
          <w:rFonts w:eastAsia="Calibri" w:cs="Arial"/>
        </w:rPr>
        <w:fldChar w:fldCharType="begin">
          <w:fldData xml:space="preserve">PEVuZE5vdGU+PENpdGU+PEF1dGhvcj5DaG93ZGh1cnk8L0F1dGhvcj48WWVhcj4yMDEzPC9ZZWFy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=
</w:fldData>
        </w:fldChar>
      </w:r>
      <w:r w:rsidRPr="00A20A17">
        <w:rPr>
          <w:rFonts w:eastAsia="Calibri" w:cs="Arial"/>
        </w:rPr>
        <w:instrText xml:space="preserve"> ADDIN EN.CITE.DATA </w:instrText>
      </w:r>
      <w:r w:rsidRPr="00A20A17">
        <w:rPr>
          <w:rFonts w:eastAsia="Calibri" w:cs="Arial"/>
        </w:rPr>
      </w:r>
      <w:r w:rsidRPr="00A20A17">
        <w:rPr>
          <w:rFonts w:eastAsia="Calibri" w:cs="Arial"/>
        </w:rPr>
        <w:fldChar w:fldCharType="end"/>
      </w:r>
      <w:r w:rsidRPr="00A20A17">
        <w:rPr>
          <w:rFonts w:eastAsia="Calibri" w:cs="Arial"/>
        </w:rPr>
      </w:r>
      <w:r w:rsidRPr="00A20A17">
        <w:rPr>
          <w:rFonts w:eastAsia="Calibri" w:cs="Arial"/>
        </w:rPr>
        <w:fldChar w:fldCharType="separate"/>
      </w:r>
      <w:r w:rsidRPr="00A20A17">
        <w:rPr>
          <w:rFonts w:eastAsia="Calibri" w:cs="Arial"/>
          <w:noProof/>
        </w:rPr>
        <w:t>(11, 12)</w:t>
      </w:r>
      <w:r w:rsidRPr="00A20A17">
        <w:rPr>
          <w:rFonts w:eastAsia="Calibri" w:cs="Arial"/>
        </w:rPr>
        <w:fldChar w:fldCharType="end"/>
      </w:r>
      <w:r w:rsidRPr="00A20A17">
        <w:rPr>
          <w:rFonts w:eastAsia="Calibri" w:cs="Arial"/>
        </w:rPr>
        <w:t xml:space="preserve">; and iii) predictors of LDL-C response to LLTs. The imputation model considered: age at baseline (years), gender, history of CVD, post-baseline CVD, pre-treatment LDL-C, ethnicity, deprivation index, body mass index, smoking, diabetes, hypertension, systolic blood pressure, other comorbidities (includes: inflammatory disease, HIV and chronic kidney disease), atrial fibrillation, family history of CHD, anti-hypertensive medication, polypharmacy (patients getting more than one drug, considering: antipsychotics, corticosteroid, antihypertensives and immunosuppressants), post-baseline statin potency (categorised into low, medium and high potency </w:t>
      </w:r>
      <w:r w:rsidRPr="00A20A17">
        <w:rPr>
          <w:rFonts w:eastAsia="Calibri" w:cs="Arial"/>
        </w:rPr>
        <w:fldChar w:fldCharType="begin"/>
      </w:r>
      <w:r w:rsidRPr="00A20A17">
        <w:rPr>
          <w:rFonts w:eastAsia="Calibri" w:cs="Arial"/>
        </w:rPr>
        <w:instrText xml:space="preserve"> ADDIN EN.CITE &lt;EndNote&gt;&lt;Cite&gt;&lt;Author&gt;NICE&lt;/Author&gt;&lt;Year&gt;2014&lt;/Year&gt;&lt;IDText&gt;Cardiovascular disease: risk assessment and reduction, including lipid modification&lt;/IDText&gt;&lt;DisplayText&gt;(13)&lt;/DisplayText&gt;&lt;record&gt;&lt;urls&gt;&lt;related-urls&gt;&lt;url&gt;https://www.nice.org.uk/guidance/cg181/resources/cardiovascular-disease-risk-assessment-and-reduction-including-lipid-modification-pdf-35109807660997&lt;/url&gt;&lt;/related-urls&gt;&lt;/urls&gt;&lt;titles&gt;&lt;title&gt;Cardiovascular disease: risk assessment and reduction, including lipid modification&lt;/title&gt;&lt;/titles&gt;&lt;contributors&gt;&lt;authors&gt;&lt;author&gt;NICE&lt;/author&gt;&lt;/authors&gt;&lt;/contributors&gt;&lt;added-date format="utc"&gt;1622723807&lt;/added-date&gt;&lt;ref-type name="Report"&gt;27&lt;/ref-type&gt;&lt;dates&gt;&lt;year&gt;2014&lt;/year&gt;&lt;/dates&gt;&lt;rec-number&gt;239&lt;/rec-number&gt;&lt;last-updated-date format="utc"&gt;1622723836&lt;/last-updated-date&gt;&lt;/record&gt;&lt;/Cite&gt;&lt;/EndNote&gt;</w:instrText>
      </w:r>
      <w:r w:rsidRPr="00A20A17">
        <w:rPr>
          <w:rFonts w:eastAsia="Calibri" w:cs="Arial"/>
        </w:rPr>
        <w:fldChar w:fldCharType="separate"/>
      </w:r>
      <w:r w:rsidRPr="00A20A17">
        <w:rPr>
          <w:rFonts w:eastAsia="Calibri" w:cs="Arial"/>
          <w:noProof/>
        </w:rPr>
        <w:t>(13)</w:t>
      </w:r>
      <w:r w:rsidRPr="00A20A17">
        <w:rPr>
          <w:rFonts w:eastAsia="Calibri" w:cs="Arial"/>
        </w:rPr>
        <w:fldChar w:fldCharType="end"/>
      </w:r>
      <w:r w:rsidRPr="00A20A17">
        <w:rPr>
          <w:rFonts w:eastAsia="Calibri" w:cs="Arial"/>
        </w:rPr>
        <w:t xml:space="preserve">), QRisk2 score and lipids measurements (in mmol/l). We used Rubin’s rules (Rubin, 2004) to obtain combined estimates from imputed datasets. </w:t>
      </w:r>
    </w:p>
    <w:p w14:paraId="4B4A50B3" w14:textId="77777777" w:rsidR="005B6418" w:rsidRPr="00A20A17" w:rsidRDefault="005B6418" w:rsidP="005B6418">
      <w:pPr>
        <w:spacing w:after="160" w:line="259" w:lineRule="auto"/>
        <w:rPr>
          <w:rFonts w:eastAsia="Calibri" w:cs="Arial"/>
          <w:b/>
          <w:bCs/>
          <w:sz w:val="18"/>
          <w:szCs w:val="18"/>
        </w:rPr>
      </w:pPr>
    </w:p>
    <w:p w14:paraId="7D06D058" w14:textId="77777777" w:rsidR="005B6418" w:rsidRPr="00A20A17" w:rsidRDefault="005B6418" w:rsidP="005B6418">
      <w:pPr>
        <w:numPr>
          <w:ilvl w:val="1"/>
          <w:numId w:val="1"/>
        </w:numPr>
        <w:spacing w:after="120" w:line="259" w:lineRule="auto"/>
        <w:ind w:left="284" w:hanging="284"/>
        <w:contextualSpacing/>
        <w:rPr>
          <w:rFonts w:eastAsia="Calibri" w:cs="Arial"/>
          <w:b/>
          <w:bCs/>
          <w:sz w:val="24"/>
          <w:szCs w:val="24"/>
        </w:rPr>
      </w:pPr>
      <w:r w:rsidRPr="00A20A17">
        <w:rPr>
          <w:rFonts w:eastAsia="Calibri" w:cs="Arial"/>
          <w:b/>
          <w:bCs/>
          <w:sz w:val="24"/>
          <w:szCs w:val="24"/>
        </w:rPr>
        <w:t>Validity of fitted survival models</w:t>
      </w:r>
    </w:p>
    <w:p w14:paraId="0973C0B3" w14:textId="77777777" w:rsidR="005B6418" w:rsidRPr="00A20A17" w:rsidRDefault="005B6418" w:rsidP="005B6418">
      <w:pPr>
        <w:numPr>
          <w:ilvl w:val="0"/>
          <w:numId w:val="3"/>
        </w:numPr>
        <w:spacing w:after="120" w:line="259" w:lineRule="auto"/>
        <w:ind w:left="567" w:hanging="141"/>
        <w:contextualSpacing/>
        <w:rPr>
          <w:rFonts w:eastAsia="Calibri" w:cs="Arial"/>
          <w:b/>
          <w:bCs/>
        </w:rPr>
      </w:pPr>
      <w:r w:rsidRPr="00A20A17">
        <w:rPr>
          <w:rFonts w:eastAsia="Calibri" w:cs="Arial"/>
          <w:b/>
          <w:bCs/>
        </w:rPr>
        <w:t>Internal validity</w:t>
      </w:r>
    </w:p>
    <w:p w14:paraId="38B448E7" w14:textId="77777777" w:rsidR="005B6418" w:rsidRPr="00A20A17" w:rsidRDefault="005B6418" w:rsidP="005B6418">
      <w:pPr>
        <w:spacing w:after="120"/>
        <w:rPr>
          <w:rFonts w:eastAsia="Calibri" w:cs="Arial"/>
        </w:rPr>
      </w:pPr>
      <w:r w:rsidRPr="00A20A17">
        <w:rPr>
          <w:rFonts w:eastAsia="Calibri" w:cs="Arial"/>
        </w:rPr>
        <w:t>Figure 3.1 shows the survival, hazard and cumulative hazard curves for each fitted survival curve. Table 3.1 shows the AIC statistic for all fitted parametric survival models.</w:t>
      </w:r>
    </w:p>
    <w:p w14:paraId="775D9065" w14:textId="77777777" w:rsidR="005B6418" w:rsidRPr="00A20A17" w:rsidRDefault="005B6418" w:rsidP="005B6418">
      <w:pPr>
        <w:spacing w:after="120"/>
        <w:rPr>
          <w:rFonts w:eastAsia="Calibri" w:cs="Arial"/>
        </w:rPr>
      </w:pPr>
      <w:r w:rsidRPr="00A20A17">
        <w:rPr>
          <w:rFonts w:eastAsia="Calibri" w:cs="Arial"/>
        </w:rPr>
        <w:t>Table 3.1</w:t>
      </w:r>
      <w:r w:rsidRPr="00A20A17">
        <w:rPr>
          <w:rFonts w:eastAsia="Times New Roman" w:cs="Arial"/>
          <w:color w:val="000000"/>
          <w:lang w:eastAsia="en-GB"/>
        </w:rPr>
        <w:t>:</w:t>
      </w:r>
      <w:r w:rsidRPr="00A20A17">
        <w:rPr>
          <w:rFonts w:eastAsia="Calibri" w:cs="Arial"/>
        </w:rPr>
        <w:t xml:space="preserve"> AIC statistic for all fitted parametric survival models. </w:t>
      </w:r>
    </w:p>
    <w:tbl>
      <w:tblPr>
        <w:tblStyle w:val="TableGrid1"/>
        <w:tblW w:w="0" w:type="auto"/>
        <w:jc w:val="center"/>
        <w:tblLook w:val="04A0" w:firstRow="1" w:lastRow="0" w:firstColumn="1" w:lastColumn="0" w:noHBand="0" w:noVBand="1"/>
      </w:tblPr>
      <w:tblGrid>
        <w:gridCol w:w="3397"/>
        <w:gridCol w:w="1560"/>
      </w:tblGrid>
      <w:tr w:rsidR="005B6418" w:rsidRPr="00A20A17" w14:paraId="709D90B1" w14:textId="77777777" w:rsidTr="00A80B48">
        <w:trPr>
          <w:jc w:val="center"/>
        </w:trPr>
        <w:tc>
          <w:tcPr>
            <w:tcW w:w="3397" w:type="dxa"/>
            <w:vAlign w:val="center"/>
          </w:tcPr>
          <w:p w14:paraId="5B7961A9" w14:textId="77777777" w:rsidR="005B6418" w:rsidRPr="00A20A17" w:rsidRDefault="005B6418" w:rsidP="00A80B48">
            <w:pPr>
              <w:spacing w:after="0" w:line="240" w:lineRule="auto"/>
              <w:rPr>
                <w:rFonts w:eastAsia="Calibri" w:cs="Arial"/>
                <w:b/>
                <w:bCs/>
              </w:rPr>
            </w:pPr>
            <w:r w:rsidRPr="00A20A17">
              <w:rPr>
                <w:rFonts w:eastAsia="Calibri" w:cs="Arial"/>
                <w:b/>
                <w:bCs/>
              </w:rPr>
              <w:t>Parametric survival model</w:t>
            </w:r>
          </w:p>
        </w:tc>
        <w:tc>
          <w:tcPr>
            <w:tcW w:w="1560" w:type="dxa"/>
            <w:vAlign w:val="center"/>
          </w:tcPr>
          <w:p w14:paraId="5AA46AAF" w14:textId="77777777" w:rsidR="005B6418" w:rsidRPr="00A20A17" w:rsidRDefault="005B6418" w:rsidP="00A80B48">
            <w:pPr>
              <w:spacing w:after="0" w:line="240" w:lineRule="auto"/>
              <w:jc w:val="center"/>
              <w:rPr>
                <w:rFonts w:eastAsia="Calibri" w:cs="Arial"/>
                <w:b/>
                <w:bCs/>
              </w:rPr>
            </w:pPr>
            <w:r w:rsidRPr="00A20A17">
              <w:rPr>
                <w:rFonts w:eastAsia="Calibri" w:cs="Arial"/>
                <w:b/>
                <w:bCs/>
              </w:rPr>
              <w:t>AIC statistic</w:t>
            </w:r>
          </w:p>
        </w:tc>
      </w:tr>
      <w:tr w:rsidR="005B6418" w:rsidRPr="00A20A17" w14:paraId="749519C4" w14:textId="77777777" w:rsidTr="00A80B48">
        <w:trPr>
          <w:jc w:val="center"/>
        </w:trPr>
        <w:tc>
          <w:tcPr>
            <w:tcW w:w="3397" w:type="dxa"/>
            <w:vAlign w:val="center"/>
          </w:tcPr>
          <w:p w14:paraId="67C4BD53"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Exponential</w:t>
            </w:r>
          </w:p>
        </w:tc>
        <w:tc>
          <w:tcPr>
            <w:tcW w:w="1560" w:type="dxa"/>
            <w:vAlign w:val="center"/>
          </w:tcPr>
          <w:p w14:paraId="01A01011"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1413.3</w:t>
            </w:r>
          </w:p>
        </w:tc>
      </w:tr>
      <w:tr w:rsidR="005B6418" w:rsidRPr="00A20A17" w14:paraId="0AF1D932" w14:textId="77777777" w:rsidTr="00A80B48">
        <w:trPr>
          <w:jc w:val="center"/>
        </w:trPr>
        <w:tc>
          <w:tcPr>
            <w:tcW w:w="3397" w:type="dxa"/>
            <w:vAlign w:val="center"/>
          </w:tcPr>
          <w:p w14:paraId="170A59E3"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Weibull</w:t>
            </w:r>
          </w:p>
        </w:tc>
        <w:tc>
          <w:tcPr>
            <w:tcW w:w="1560" w:type="dxa"/>
            <w:vAlign w:val="center"/>
          </w:tcPr>
          <w:p w14:paraId="032704DA"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1387.0</w:t>
            </w:r>
          </w:p>
        </w:tc>
      </w:tr>
      <w:tr w:rsidR="005B6418" w:rsidRPr="00A20A17" w14:paraId="4FA216F6" w14:textId="77777777" w:rsidTr="00A80B48">
        <w:trPr>
          <w:jc w:val="center"/>
        </w:trPr>
        <w:tc>
          <w:tcPr>
            <w:tcW w:w="3397" w:type="dxa"/>
            <w:vAlign w:val="center"/>
          </w:tcPr>
          <w:p w14:paraId="7B25F6E7"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Gompertz</w:t>
            </w:r>
          </w:p>
        </w:tc>
        <w:tc>
          <w:tcPr>
            <w:tcW w:w="1560" w:type="dxa"/>
            <w:vAlign w:val="center"/>
          </w:tcPr>
          <w:p w14:paraId="7A7E0566"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1405.0</w:t>
            </w:r>
          </w:p>
        </w:tc>
      </w:tr>
      <w:tr w:rsidR="005B6418" w:rsidRPr="00A20A17" w14:paraId="2269EFDC" w14:textId="77777777" w:rsidTr="00A80B48">
        <w:trPr>
          <w:jc w:val="center"/>
        </w:trPr>
        <w:tc>
          <w:tcPr>
            <w:tcW w:w="3397" w:type="dxa"/>
            <w:vAlign w:val="center"/>
          </w:tcPr>
          <w:p w14:paraId="1857AD6B"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Log-normal</w:t>
            </w:r>
          </w:p>
        </w:tc>
        <w:tc>
          <w:tcPr>
            <w:tcW w:w="1560" w:type="dxa"/>
            <w:vAlign w:val="center"/>
          </w:tcPr>
          <w:p w14:paraId="76A4915F"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1387.8</w:t>
            </w:r>
          </w:p>
        </w:tc>
      </w:tr>
      <w:tr w:rsidR="005B6418" w:rsidRPr="00A20A17" w14:paraId="7362DEB0" w14:textId="77777777" w:rsidTr="00A80B48">
        <w:trPr>
          <w:jc w:val="center"/>
        </w:trPr>
        <w:tc>
          <w:tcPr>
            <w:tcW w:w="3397" w:type="dxa"/>
            <w:vAlign w:val="center"/>
          </w:tcPr>
          <w:p w14:paraId="5523989F"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Log-logistic</w:t>
            </w:r>
          </w:p>
        </w:tc>
        <w:tc>
          <w:tcPr>
            <w:tcW w:w="1560" w:type="dxa"/>
            <w:vAlign w:val="center"/>
          </w:tcPr>
          <w:p w14:paraId="51A2F376"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1384.9</w:t>
            </w:r>
          </w:p>
        </w:tc>
      </w:tr>
      <w:tr w:rsidR="005B6418" w:rsidRPr="00A20A17" w14:paraId="0B341A6F" w14:textId="77777777" w:rsidTr="00A80B48">
        <w:trPr>
          <w:jc w:val="center"/>
        </w:trPr>
        <w:tc>
          <w:tcPr>
            <w:tcW w:w="3397" w:type="dxa"/>
            <w:vAlign w:val="center"/>
          </w:tcPr>
          <w:p w14:paraId="33060A90"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Generalised Gamma</w:t>
            </w:r>
          </w:p>
        </w:tc>
        <w:tc>
          <w:tcPr>
            <w:tcW w:w="1560" w:type="dxa"/>
            <w:vAlign w:val="center"/>
          </w:tcPr>
          <w:p w14:paraId="09CFFD46"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1387.4</w:t>
            </w:r>
          </w:p>
        </w:tc>
      </w:tr>
      <w:tr w:rsidR="005B6418" w:rsidRPr="00A20A17" w14:paraId="13BD2E8E" w14:textId="77777777" w:rsidTr="00A80B48">
        <w:trPr>
          <w:jc w:val="center"/>
        </w:trPr>
        <w:tc>
          <w:tcPr>
            <w:tcW w:w="3397" w:type="dxa"/>
            <w:vAlign w:val="center"/>
          </w:tcPr>
          <w:p w14:paraId="68E6CA0C" w14:textId="77777777" w:rsidR="005B6418" w:rsidRPr="00A20A17" w:rsidRDefault="005B6418" w:rsidP="00A80B48">
            <w:pPr>
              <w:spacing w:after="0" w:line="240" w:lineRule="auto"/>
              <w:rPr>
                <w:rFonts w:eastAsia="Calibri" w:cs="Arial"/>
                <w:sz w:val="20"/>
                <w:szCs w:val="20"/>
              </w:rPr>
            </w:pPr>
            <w:r w:rsidRPr="00A20A17">
              <w:rPr>
                <w:rFonts w:eastAsia="Calibri" w:cs="Arial"/>
                <w:sz w:val="20"/>
                <w:szCs w:val="20"/>
              </w:rPr>
              <w:t>Royston Parmar spline with 5 knots</w:t>
            </w:r>
          </w:p>
        </w:tc>
        <w:tc>
          <w:tcPr>
            <w:tcW w:w="1560" w:type="dxa"/>
            <w:vAlign w:val="center"/>
          </w:tcPr>
          <w:p w14:paraId="78E21143" w14:textId="77777777" w:rsidR="005B6418" w:rsidRPr="00A20A17" w:rsidRDefault="005B6418" w:rsidP="00A80B48">
            <w:pPr>
              <w:spacing w:after="0" w:line="240" w:lineRule="auto"/>
              <w:jc w:val="center"/>
              <w:rPr>
                <w:rFonts w:eastAsia="Calibri" w:cs="Arial"/>
                <w:sz w:val="18"/>
                <w:szCs w:val="18"/>
              </w:rPr>
            </w:pPr>
            <w:r w:rsidRPr="00A20A17">
              <w:rPr>
                <w:rFonts w:eastAsia="Calibri" w:cs="Arial"/>
                <w:sz w:val="18"/>
                <w:szCs w:val="18"/>
              </w:rPr>
              <w:t>1380.9</w:t>
            </w:r>
          </w:p>
        </w:tc>
      </w:tr>
    </w:tbl>
    <w:p w14:paraId="5BAFB0C3" w14:textId="77777777" w:rsidR="005B6418" w:rsidRPr="00A20A17" w:rsidRDefault="005B6418" w:rsidP="005B6418">
      <w:pPr>
        <w:spacing w:after="120"/>
        <w:rPr>
          <w:rFonts w:eastAsia="Calibri" w:cs="Arial"/>
        </w:rPr>
      </w:pPr>
    </w:p>
    <w:p w14:paraId="7E1D0500" w14:textId="77777777" w:rsidR="005B6418" w:rsidRPr="00A20A17" w:rsidRDefault="005B6418" w:rsidP="005B6418">
      <w:pPr>
        <w:spacing w:after="120"/>
        <w:rPr>
          <w:rFonts w:eastAsia="Calibri" w:cs="Arial"/>
        </w:rPr>
      </w:pPr>
    </w:p>
    <w:p w14:paraId="3A55BAE0" w14:textId="77777777" w:rsidR="005B6418" w:rsidRPr="00A20A17" w:rsidRDefault="005B6418" w:rsidP="005B6418">
      <w:pPr>
        <w:spacing w:after="0" w:line="240" w:lineRule="auto"/>
        <w:rPr>
          <w:rFonts w:eastAsia="Times New Roman" w:cs="Arial"/>
          <w:color w:val="000000"/>
          <w:lang w:eastAsia="en-GB"/>
        </w:rPr>
      </w:pPr>
      <w:r w:rsidRPr="00A20A17">
        <w:rPr>
          <w:rFonts w:eastAsia="Times New Roman" w:cs="Arial"/>
          <w:color w:val="000000"/>
          <w:lang w:eastAsia="en-GB"/>
        </w:rPr>
        <w:t>Figure 3.1: (a) Survival curve; (b) Hazard rates; and (c) Cumulative hazard for each fitted survival model.</w:t>
      </w:r>
    </w:p>
    <w:p w14:paraId="05EEF02E" w14:textId="77777777" w:rsidR="005B6418" w:rsidRPr="00A20A17" w:rsidRDefault="005B6418" w:rsidP="005B6418">
      <w:pPr>
        <w:spacing w:after="0" w:line="240" w:lineRule="auto"/>
        <w:rPr>
          <w:rFonts w:eastAsia="Times New Roman" w:cs="Arial"/>
          <w:color w:val="000000"/>
          <w:lang w:eastAsia="en-GB"/>
        </w:rPr>
      </w:pPr>
      <w:r w:rsidRPr="00A20A17">
        <w:rPr>
          <w:rFonts w:ascii="Calibri" w:eastAsia="Calibri" w:hAnsi="Calibri" w:cs="Times New Roman"/>
          <w:noProof/>
          <w:lang w:eastAsia="en-GB"/>
        </w:rPr>
        <mc:AlternateContent>
          <mc:Choice Requires="wps">
            <w:drawing>
              <wp:anchor distT="0" distB="0" distL="114300" distR="114300" simplePos="0" relativeHeight="251661312" behindDoc="0" locked="0" layoutInCell="1" allowOverlap="1" wp14:anchorId="61B5F067" wp14:editId="1BD47F8E">
                <wp:simplePos x="0" y="0"/>
                <wp:positionH relativeFrom="column">
                  <wp:posOffset>431321</wp:posOffset>
                </wp:positionH>
                <wp:positionV relativeFrom="paragraph">
                  <wp:posOffset>500332</wp:posOffset>
                </wp:positionV>
                <wp:extent cx="375285" cy="341630"/>
                <wp:effectExtent l="0" t="0" r="5715" b="1270"/>
                <wp:wrapNone/>
                <wp:docPr id="7" name="Text Box 7"/>
                <wp:cNvGraphicFramePr/>
                <a:graphic xmlns:a="http://schemas.openxmlformats.org/drawingml/2006/main">
                  <a:graphicData uri="http://schemas.microsoft.com/office/word/2010/wordprocessingShape">
                    <wps:wsp>
                      <wps:cNvSpPr txBox="1"/>
                      <wps:spPr>
                        <a:xfrm>
                          <a:off x="0" y="0"/>
                          <a:ext cx="375285" cy="341630"/>
                        </a:xfrm>
                        <a:prstGeom prst="rect">
                          <a:avLst/>
                        </a:prstGeom>
                        <a:solidFill>
                          <a:sysClr val="window" lastClr="FFFFFF"/>
                        </a:solidFill>
                        <a:ln w="6350">
                          <a:noFill/>
                        </a:ln>
                      </wps:spPr>
                      <wps:txbx>
                        <w:txbxContent>
                          <w:p w14:paraId="20CFC740" w14:textId="77777777" w:rsidR="005B6418" w:rsidRDefault="005B6418" w:rsidP="005B6418">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B5F067" id="_x0000_t202" coordsize="21600,21600" o:spt="202" path="m,l,21600r21600,l21600,xe">
                <v:stroke joinstyle="miter"/>
                <v:path gradientshapeok="t" o:connecttype="rect"/>
              </v:shapetype>
              <v:shape id="Text Box 7" o:spid="_x0000_s1026" type="#_x0000_t202" style="position:absolute;margin-left:33.95pt;margin-top:39.4pt;width:29.55pt;height:2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" fillcolor="window" stroked="f" strokeweight=".5pt">
                <v:textbox>
                  <w:txbxContent>
                    <w:p w14:paraId="20CFC740" w14:textId="77777777" w:rsidR="005B6418" w:rsidRDefault="005B6418" w:rsidP="005B6418">
                      <w:r>
                        <w:t>(a)</w:t>
                      </w:r>
                    </w:p>
                  </w:txbxContent>
                </v:textbox>
              </v:shape>
            </w:pict>
          </mc:Fallback>
        </mc:AlternateContent>
      </w:r>
      <w:r w:rsidRPr="00A20A17">
        <w:rPr>
          <w:rFonts w:ascii="Calibri" w:eastAsia="Calibri" w:hAnsi="Calibri" w:cs="Times New Roman"/>
          <w:noProof/>
          <w:lang w:eastAsia="en-GB"/>
        </w:rPr>
        <w:drawing>
          <wp:inline distT="0" distB="0" distL="0" distR="0" wp14:anchorId="422E1FC9" wp14:editId="7E863A82">
            <wp:extent cx="4308339" cy="2545379"/>
            <wp:effectExtent l="19050" t="19050" r="16510" b="26670"/>
            <wp:docPr id="3" name="Picture 3" descr="Survival_allmod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rvival_allmodels"/>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265" r="3553" b="1963"/>
                    <a:stretch/>
                  </pic:blipFill>
                  <pic:spPr bwMode="auto">
                    <a:xfrm>
                      <a:off x="0" y="0"/>
                      <a:ext cx="4363120" cy="2577744"/>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p>
    <w:p w14:paraId="3A80CF28" w14:textId="77777777" w:rsidR="005B6418" w:rsidRPr="00A20A17" w:rsidRDefault="005B6418" w:rsidP="005B6418">
      <w:pPr>
        <w:spacing w:after="0" w:line="240" w:lineRule="auto"/>
        <w:rPr>
          <w:rFonts w:eastAsia="Times New Roman" w:cs="Arial"/>
          <w:color w:val="000000"/>
          <w:lang w:eastAsia="en-GB"/>
        </w:rPr>
      </w:pPr>
      <w:r w:rsidRPr="00A20A17">
        <w:rPr>
          <w:rFonts w:ascii="Calibri" w:eastAsia="Calibri" w:hAnsi="Calibri" w:cs="Times New Roman"/>
          <w:noProof/>
          <w:lang w:eastAsia="en-GB"/>
        </w:rPr>
        <mc:AlternateContent>
          <mc:Choice Requires="wps">
            <w:drawing>
              <wp:anchor distT="0" distB="0" distL="114300" distR="114300" simplePos="0" relativeHeight="251662336" behindDoc="0" locked="0" layoutInCell="1" allowOverlap="1" wp14:anchorId="7E7F7AEB" wp14:editId="7B9B8693">
                <wp:simplePos x="0" y="0"/>
                <wp:positionH relativeFrom="column">
                  <wp:posOffset>345796</wp:posOffset>
                </wp:positionH>
                <wp:positionV relativeFrom="paragraph">
                  <wp:posOffset>174930</wp:posOffset>
                </wp:positionV>
                <wp:extent cx="375858" cy="342199"/>
                <wp:effectExtent l="0" t="0" r="5715" b="1270"/>
                <wp:wrapNone/>
                <wp:docPr id="8" name="Text Box 8"/>
                <wp:cNvGraphicFramePr/>
                <a:graphic xmlns:a="http://schemas.openxmlformats.org/drawingml/2006/main">
                  <a:graphicData uri="http://schemas.microsoft.com/office/word/2010/wordprocessingShape">
                    <wps:wsp>
                      <wps:cNvSpPr txBox="1"/>
                      <wps:spPr>
                        <a:xfrm>
                          <a:off x="0" y="0"/>
                          <a:ext cx="375858" cy="342199"/>
                        </a:xfrm>
                        <a:prstGeom prst="rect">
                          <a:avLst/>
                        </a:prstGeom>
                        <a:solidFill>
                          <a:sysClr val="window" lastClr="FFFFFF"/>
                        </a:solidFill>
                        <a:ln w="6350">
                          <a:noFill/>
                        </a:ln>
                      </wps:spPr>
                      <wps:txbx>
                        <w:txbxContent>
                          <w:p w14:paraId="64C4614C" w14:textId="77777777" w:rsidR="005B6418" w:rsidRDefault="005B6418" w:rsidP="005B6418">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F7AEB" id="Text Box 8" o:spid="_x0000_s1027" type="#_x0000_t202" style="position:absolute;margin-left:27.25pt;margin-top:13.75pt;width:29.6pt;height:2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" fillcolor="window" stroked="f" strokeweight=".5pt">
                <v:textbox>
                  <w:txbxContent>
                    <w:p w14:paraId="64C4614C" w14:textId="77777777" w:rsidR="005B6418" w:rsidRDefault="005B6418" w:rsidP="005B6418">
                      <w:r>
                        <w:t>(b)</w:t>
                      </w:r>
                    </w:p>
                  </w:txbxContent>
                </v:textbox>
              </v:shape>
            </w:pict>
          </mc:Fallback>
        </mc:AlternateContent>
      </w:r>
      <w:r w:rsidRPr="00A20A17">
        <w:rPr>
          <w:rFonts w:ascii="Calibri" w:eastAsia="Calibri" w:hAnsi="Calibri" w:cs="Times New Roman"/>
          <w:noProof/>
          <w:lang w:eastAsia="en-GB"/>
        </w:rPr>
        <w:drawing>
          <wp:inline distT="0" distB="0" distL="0" distR="0" wp14:anchorId="1886A353" wp14:editId="00346C9D">
            <wp:extent cx="4307840" cy="2431231"/>
            <wp:effectExtent l="19050" t="19050" r="16510" b="26670"/>
            <wp:docPr id="6" name="Picture 6"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with medium confidence"/>
                    <pic:cNvPicPr/>
                  </pic:nvPicPr>
                  <pic:blipFill rotWithShape="1">
                    <a:blip r:embed="rId12"/>
                    <a:srcRect t="8054" r="3361"/>
                    <a:stretch/>
                  </pic:blipFill>
                  <pic:spPr bwMode="auto">
                    <a:xfrm>
                      <a:off x="0" y="0"/>
                      <a:ext cx="4342900" cy="2451018"/>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p>
    <w:p w14:paraId="7A97FF14" w14:textId="77777777" w:rsidR="005B6418" w:rsidRPr="00A20A17" w:rsidRDefault="005B6418" w:rsidP="005B6418">
      <w:pPr>
        <w:spacing w:after="120"/>
        <w:rPr>
          <w:rFonts w:eastAsia="Calibri" w:cs="Arial"/>
        </w:rPr>
      </w:pPr>
      <w:r w:rsidRPr="00A20A17">
        <w:rPr>
          <w:rFonts w:ascii="Calibri" w:eastAsia="Calibri" w:hAnsi="Calibri" w:cs="Times New Roman"/>
          <w:noProof/>
          <w:lang w:eastAsia="en-GB"/>
        </w:rPr>
        <mc:AlternateContent>
          <mc:Choice Requires="wps">
            <w:drawing>
              <wp:anchor distT="0" distB="0" distL="114300" distR="114300" simplePos="0" relativeHeight="251663360" behindDoc="0" locked="0" layoutInCell="1" allowOverlap="1" wp14:anchorId="7637851E" wp14:editId="4AFAD80B">
                <wp:simplePos x="0" y="0"/>
                <wp:positionH relativeFrom="column">
                  <wp:posOffset>342315</wp:posOffset>
                </wp:positionH>
                <wp:positionV relativeFrom="paragraph">
                  <wp:posOffset>111557</wp:posOffset>
                </wp:positionV>
                <wp:extent cx="375858" cy="342199"/>
                <wp:effectExtent l="0" t="0" r="5715" b="1270"/>
                <wp:wrapNone/>
                <wp:docPr id="11" name="Text Box 11"/>
                <wp:cNvGraphicFramePr/>
                <a:graphic xmlns:a="http://schemas.openxmlformats.org/drawingml/2006/main">
                  <a:graphicData uri="http://schemas.microsoft.com/office/word/2010/wordprocessingShape">
                    <wps:wsp>
                      <wps:cNvSpPr txBox="1"/>
                      <wps:spPr>
                        <a:xfrm>
                          <a:off x="0" y="0"/>
                          <a:ext cx="375858" cy="342199"/>
                        </a:xfrm>
                        <a:prstGeom prst="rect">
                          <a:avLst/>
                        </a:prstGeom>
                        <a:solidFill>
                          <a:sysClr val="window" lastClr="FFFFFF"/>
                        </a:solidFill>
                        <a:ln w="6350">
                          <a:noFill/>
                        </a:ln>
                      </wps:spPr>
                      <wps:txbx>
                        <w:txbxContent>
                          <w:p w14:paraId="0A0B82CD" w14:textId="77777777" w:rsidR="005B6418" w:rsidRDefault="005B6418" w:rsidP="005B6418">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7851E" id="Text Box 11" o:spid="_x0000_s1028" type="#_x0000_t202" style="position:absolute;margin-left:26.95pt;margin-top:8.8pt;width:29.6pt;height:2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" fillcolor="window" stroked="f" strokeweight=".5pt">
                <v:textbox>
                  <w:txbxContent>
                    <w:p w14:paraId="0A0B82CD" w14:textId="77777777" w:rsidR="005B6418" w:rsidRDefault="005B6418" w:rsidP="005B6418">
                      <w:r>
                        <w:t>(c)</w:t>
                      </w:r>
                    </w:p>
                  </w:txbxContent>
                </v:textbox>
              </v:shape>
            </w:pict>
          </mc:Fallback>
        </mc:AlternateContent>
      </w:r>
      <w:r w:rsidRPr="00A20A17">
        <w:rPr>
          <w:rFonts w:ascii="Calibri" w:eastAsia="Calibri" w:hAnsi="Calibri" w:cs="Times New Roman"/>
          <w:noProof/>
          <w:lang w:eastAsia="en-GB"/>
        </w:rPr>
        <w:drawing>
          <wp:inline distT="0" distB="0" distL="0" distR="0" wp14:anchorId="143F07DF" wp14:editId="511DC2BD">
            <wp:extent cx="4323283" cy="2377440"/>
            <wp:effectExtent l="19050" t="19050" r="20320" b="2286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rotWithShape="1">
                    <a:blip r:embed="rId13"/>
                    <a:srcRect t="8064" r="3215" b="1709"/>
                    <a:stretch/>
                  </pic:blipFill>
                  <pic:spPr bwMode="auto">
                    <a:xfrm>
                      <a:off x="0" y="0"/>
                      <a:ext cx="4364073" cy="2399871"/>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3421A265" w14:textId="77777777" w:rsidR="005B6418" w:rsidRPr="00A20A17" w:rsidRDefault="005B6418" w:rsidP="005B6418">
      <w:pPr>
        <w:spacing w:after="120"/>
        <w:rPr>
          <w:rFonts w:eastAsia="Calibri" w:cs="Arial"/>
        </w:rPr>
      </w:pPr>
    </w:p>
    <w:p w14:paraId="095FC78C" w14:textId="77777777" w:rsidR="005B6418" w:rsidRPr="00A20A17" w:rsidRDefault="005B6418" w:rsidP="005B6418">
      <w:pPr>
        <w:numPr>
          <w:ilvl w:val="0"/>
          <w:numId w:val="3"/>
        </w:numPr>
        <w:spacing w:after="120" w:line="259" w:lineRule="auto"/>
        <w:ind w:left="567" w:hanging="141"/>
        <w:contextualSpacing/>
        <w:rPr>
          <w:rFonts w:eastAsia="Calibri" w:cs="Arial"/>
          <w:b/>
          <w:bCs/>
        </w:rPr>
      </w:pPr>
      <w:r w:rsidRPr="00A20A17">
        <w:rPr>
          <w:rFonts w:eastAsia="Calibri" w:cs="Arial"/>
          <w:b/>
          <w:bCs/>
        </w:rPr>
        <w:t>External validity</w:t>
      </w:r>
    </w:p>
    <w:p w14:paraId="3A770AF2" w14:textId="77777777" w:rsidR="005B6418" w:rsidRPr="00A20A17" w:rsidRDefault="005B6418" w:rsidP="005B6418">
      <w:pPr>
        <w:spacing w:after="120"/>
        <w:rPr>
          <w:rFonts w:eastAsia="Calibri" w:cs="Arial"/>
        </w:rPr>
      </w:pPr>
      <w:r w:rsidRPr="00A20A17">
        <w:rPr>
          <w:rFonts w:eastAsia="Calibri" w:cs="Arial"/>
        </w:rPr>
        <w:t xml:space="preserve">The external validity of the fitted parametric models was assessed through the use of external data from a recent publication by Perak et al </w:t>
      </w:r>
      <w:r w:rsidRPr="00A20A17">
        <w:rPr>
          <w:rFonts w:eastAsia="Calibri" w:cs="Arial"/>
        </w:rPr>
        <w:fldChar w:fldCharType="begin"/>
      </w:r>
      <w:r w:rsidRPr="00A20A17">
        <w:rPr>
          <w:rFonts w:eastAsia="Calibri" w:cs="Arial"/>
        </w:rPr>
        <w:instrText xml:space="preserve"> ADDIN EN.CITE &lt;EndNote&gt;&lt;Cite&gt;&lt;Author&gt;Perak&lt;/Author&gt;&lt;Year&gt;2016&lt;/Year&gt;&lt;IDText&gt;Long-Term Risk of Atherosclerotic Cardiovascular Disease in US Adults With the Familial Hypercholesterolemia Phenotype&lt;/IDText&gt;&lt;DisplayText&gt;(14)&lt;/DisplayText&gt;&lt;record&gt;&lt;dates&gt;&lt;pub-dates&gt;&lt;date&gt;Jul&lt;/date&gt;&lt;/pub-dates&gt;&lt;year&gt;2016&lt;/year&gt;&lt;/dates&gt;&lt;keywords&gt;&lt;keyword&gt;Adult&lt;/keyword&gt;&lt;keyword&gt;Aged&lt;/keyword&gt;&lt;keyword&gt;Atherosclerosis&lt;/keyword&gt;&lt;keyword&gt;Cholesterol, LDL&lt;/keyword&gt;&lt;keyword&gt;Cohort Studies&lt;/keyword&gt;&lt;keyword&gt;Female&lt;/keyword&gt;&lt;keyword&gt;Genotype&lt;/keyword&gt;&lt;keyword&gt;Humans&lt;/keyword&gt;&lt;keyword&gt;Hyperlipoproteinemia Type II&lt;/keyword&gt;&lt;keyword&gt;Lipids&lt;/keyword&gt;&lt;keyword&gt;Male&lt;/keyword&gt;&lt;keyword&gt;Middle Aged&lt;/keyword&gt;&lt;keyword&gt;Phenotype&lt;/keyword&gt;&lt;keyword&gt;Prevalence&lt;/keyword&gt;&lt;keyword&gt;Proportional Hazards Models&lt;/keyword&gt;&lt;keyword&gt;Risk&lt;/keyword&gt;&lt;keyword&gt;United States&lt;/keyword&gt;&lt;keyword&gt;Young Adult&lt;/keyword&gt;&lt;keyword&gt;coronary disease&lt;/keyword&gt;&lt;keyword&gt;epidemiology&lt;/keyword&gt;&lt;keyword&gt;hypercholesterolemia&lt;/keyword&gt;&lt;/keywords&gt;&lt;urls&gt;&lt;related-urls&gt;&lt;url&gt;https://www.ncbi.nlm.nih.gov/pubmed/27358432&lt;/url&gt;&lt;/related-urls&gt;&lt;/urls&gt;&lt;isbn&gt;1524-4539&lt;/isbn&gt;&lt;custom2&gt;PMC4933328&lt;/custom2&gt;&lt;titles&gt;&lt;title&gt;Long-Term Risk of Atherosclerotic Cardiovascular Disease in US Adults With the Familial Hypercholesterolemia Phenotype&lt;/title&gt;&lt;secondary-title&gt;Circulation&lt;/secondary-title&gt;&lt;/titles&gt;&lt;pages&gt;9-19&lt;/pages&gt;&lt;number&gt;1&lt;/number&gt;&lt;contributors&gt;&lt;authors&gt;&lt;author&gt;Perak, A. M.&lt;/author&gt;&lt;author&gt;Ning, H.&lt;/author&gt;&lt;author&gt;de Ferranti, S. D.&lt;/author&gt;&lt;author&gt;Gooding, H. C.&lt;/author&gt;&lt;author&gt;Wilkins, J. T.&lt;/author&gt;&lt;author&gt;Lloyd-Jones, D. M.&lt;/author&gt;&lt;/authors&gt;&lt;/contributors&gt;&lt;language&gt;eng&lt;/language&gt;&lt;added-date format="utc"&gt;1620658713&lt;/added-date&gt;&lt;ref-type name="Journal Article"&gt;17&lt;/ref-type&gt;&lt;rec-number&gt;141&lt;/rec-number&gt;&lt;last-updated-date format="utc"&gt;1620658713&lt;/last-updated-date&gt;&lt;accession-num&gt;27358432&lt;/accession-num&gt;&lt;electronic-resource-num&gt;10.1161/CIRCULATIONAHA.116.022335&lt;/electronic-resource-num&gt;&lt;volume&gt;134&lt;/volume&gt;&lt;/record&gt;&lt;/Cite&gt;&lt;/EndNote&gt;</w:instrText>
      </w:r>
      <w:r w:rsidRPr="00A20A17">
        <w:rPr>
          <w:rFonts w:eastAsia="Calibri" w:cs="Arial"/>
        </w:rPr>
        <w:fldChar w:fldCharType="separate"/>
      </w:r>
      <w:r w:rsidRPr="00A20A17">
        <w:rPr>
          <w:rFonts w:eastAsia="Calibri" w:cs="Arial"/>
          <w:noProof/>
        </w:rPr>
        <w:t>(14)</w:t>
      </w:r>
      <w:r w:rsidRPr="00A20A17">
        <w:rPr>
          <w:rFonts w:eastAsia="Calibri" w:cs="Arial"/>
        </w:rPr>
        <w:fldChar w:fldCharType="end"/>
      </w:r>
      <w:r w:rsidRPr="00A20A17">
        <w:rPr>
          <w:rFonts w:eastAsia="Calibri" w:cs="Arial"/>
        </w:rPr>
        <w:t>. The authors looked at the long-term risk of atherosclerotic cardiovascular disease in US adults with elevated LDL-C (≥190mg/dL). The paper was selected as it provided a longer period of follow-up than the data available from CPRD and represents a large cohort. This publication provided adjusted</w:t>
      </w:r>
      <w:r w:rsidRPr="00A20A17">
        <w:rPr>
          <w:rFonts w:eastAsia="Calibri" w:cs="Arial"/>
          <w:vertAlign w:val="superscript"/>
        </w:rPr>
        <w:footnoteReference w:id="1"/>
      </w:r>
      <w:r w:rsidRPr="00A20A17">
        <w:rPr>
          <w:rFonts w:eastAsia="Calibri" w:cs="Arial"/>
        </w:rPr>
        <w:t xml:space="preserve"> 30-year survival free from CHD death or non-fatal MI for different age groups of the cohort. Please see Figure 3.2 for the digitised Perak study data.</w:t>
      </w:r>
      <w:r w:rsidRPr="00A20A17">
        <w:rPr>
          <w:rFonts w:ascii="Calibri" w:eastAsia="Calibri" w:hAnsi="Calibri" w:cs="Times New Roman"/>
        </w:rPr>
        <w:t xml:space="preserve"> </w:t>
      </w:r>
      <w:r w:rsidRPr="00A20A17">
        <w:rPr>
          <w:rFonts w:eastAsia="Calibri" w:cs="Arial"/>
        </w:rPr>
        <w:t>Across age groups event hazards appear to be increasing over time.</w:t>
      </w:r>
    </w:p>
    <w:p w14:paraId="03EBAB87" w14:textId="77777777" w:rsidR="005B6418" w:rsidRPr="00A20A17" w:rsidRDefault="005B6418" w:rsidP="005B6418">
      <w:pPr>
        <w:spacing w:after="120"/>
        <w:rPr>
          <w:rFonts w:eastAsia="Calibri" w:cs="Arial"/>
        </w:rPr>
      </w:pPr>
      <w:r w:rsidRPr="00A20A17">
        <w:rPr>
          <w:rFonts w:eastAsia="Times New Roman" w:cs="Arial"/>
          <w:color w:val="000000"/>
          <w:lang w:eastAsia="en-GB"/>
        </w:rPr>
        <w:t>Figure 3.2: (a) Perak study 30-year survival free from CHD death or non-fatal MI for different age groups; and (b) Perak study 30-year cumulative hazard for survival free from CHD death or non-fatal MI for different age groups.</w:t>
      </w:r>
    </w:p>
    <w:p w14:paraId="032003B5" w14:textId="77777777" w:rsidR="005B6418" w:rsidRPr="00A20A17" w:rsidRDefault="005B6418" w:rsidP="005B6418">
      <w:pPr>
        <w:spacing w:after="120"/>
        <w:rPr>
          <w:rFonts w:eastAsia="Calibri" w:cs="Arial"/>
        </w:rPr>
      </w:pPr>
      <w:r w:rsidRPr="00A20A17">
        <w:rPr>
          <w:rFonts w:ascii="Calibri" w:eastAsia="Calibri" w:hAnsi="Calibri" w:cs="Times New Roman"/>
          <w:noProof/>
          <w:lang w:eastAsia="en-GB"/>
        </w:rPr>
        <mc:AlternateContent>
          <mc:Choice Requires="wps">
            <w:drawing>
              <wp:anchor distT="0" distB="0" distL="114300" distR="114300" simplePos="0" relativeHeight="251668480" behindDoc="0" locked="0" layoutInCell="1" allowOverlap="1" wp14:anchorId="7DC4A67F" wp14:editId="7C344E2B">
                <wp:simplePos x="0" y="0"/>
                <wp:positionH relativeFrom="column">
                  <wp:posOffset>445135</wp:posOffset>
                </wp:positionH>
                <wp:positionV relativeFrom="paragraph">
                  <wp:posOffset>3749615</wp:posOffset>
                </wp:positionV>
                <wp:extent cx="375858" cy="342199"/>
                <wp:effectExtent l="0" t="0" r="5715" b="1270"/>
                <wp:wrapNone/>
                <wp:docPr id="19" name="Text Box 19"/>
                <wp:cNvGraphicFramePr/>
                <a:graphic xmlns:a="http://schemas.openxmlformats.org/drawingml/2006/main">
                  <a:graphicData uri="http://schemas.microsoft.com/office/word/2010/wordprocessingShape">
                    <wps:wsp>
                      <wps:cNvSpPr txBox="1"/>
                      <wps:spPr>
                        <a:xfrm>
                          <a:off x="0" y="0"/>
                          <a:ext cx="375858" cy="342199"/>
                        </a:xfrm>
                        <a:prstGeom prst="rect">
                          <a:avLst/>
                        </a:prstGeom>
                        <a:solidFill>
                          <a:sysClr val="window" lastClr="FFFFFF"/>
                        </a:solidFill>
                        <a:ln w="6350">
                          <a:noFill/>
                        </a:ln>
                      </wps:spPr>
                      <wps:txbx>
                        <w:txbxContent>
                          <w:p w14:paraId="499A66F2" w14:textId="77777777" w:rsidR="005B6418" w:rsidRDefault="005B6418" w:rsidP="005B6418">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4A67F" id="Text Box 19" o:spid="_x0000_s1029" type="#_x0000_t202" style="position:absolute;margin-left:35.05pt;margin-top:295.25pt;width:29.6pt;height:2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" fillcolor="window" stroked="f" strokeweight=".5pt">
                <v:textbox>
                  <w:txbxContent>
                    <w:p w14:paraId="499A66F2" w14:textId="77777777" w:rsidR="005B6418" w:rsidRDefault="005B6418" w:rsidP="005B6418">
                      <w:r>
                        <w:t>(b)</w:t>
                      </w:r>
                    </w:p>
                  </w:txbxContent>
                </v:textbox>
              </v:shape>
            </w:pict>
          </mc:Fallback>
        </mc:AlternateContent>
      </w:r>
      <w:r w:rsidRPr="00A20A17">
        <w:rPr>
          <w:rFonts w:ascii="Calibri" w:eastAsia="Calibri" w:hAnsi="Calibri" w:cs="Times New Roman"/>
          <w:noProof/>
          <w:lang w:eastAsia="en-GB"/>
        </w:rPr>
        <mc:AlternateContent>
          <mc:Choice Requires="wps">
            <w:drawing>
              <wp:anchor distT="0" distB="0" distL="114300" distR="114300" simplePos="0" relativeHeight="251667456" behindDoc="0" locked="0" layoutInCell="1" allowOverlap="1" wp14:anchorId="7DA7C785" wp14:editId="289E3BEB">
                <wp:simplePos x="0" y="0"/>
                <wp:positionH relativeFrom="column">
                  <wp:posOffset>439947</wp:posOffset>
                </wp:positionH>
                <wp:positionV relativeFrom="paragraph">
                  <wp:posOffset>960336</wp:posOffset>
                </wp:positionV>
                <wp:extent cx="375858" cy="342199"/>
                <wp:effectExtent l="0" t="0" r="5715" b="1270"/>
                <wp:wrapNone/>
                <wp:docPr id="17" name="Text Box 17"/>
                <wp:cNvGraphicFramePr/>
                <a:graphic xmlns:a="http://schemas.openxmlformats.org/drawingml/2006/main">
                  <a:graphicData uri="http://schemas.microsoft.com/office/word/2010/wordprocessingShape">
                    <wps:wsp>
                      <wps:cNvSpPr txBox="1"/>
                      <wps:spPr>
                        <a:xfrm>
                          <a:off x="0" y="0"/>
                          <a:ext cx="375858" cy="342199"/>
                        </a:xfrm>
                        <a:prstGeom prst="rect">
                          <a:avLst/>
                        </a:prstGeom>
                        <a:solidFill>
                          <a:sysClr val="window" lastClr="FFFFFF"/>
                        </a:solidFill>
                        <a:ln w="6350">
                          <a:noFill/>
                        </a:ln>
                      </wps:spPr>
                      <wps:txbx>
                        <w:txbxContent>
                          <w:p w14:paraId="25703876" w14:textId="77777777" w:rsidR="005B6418" w:rsidRDefault="005B6418" w:rsidP="005B6418">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A7C785" id="Text Box 17" o:spid="_x0000_s1030" type="#_x0000_t202" style="position:absolute;margin-left:34.65pt;margin-top:75.6pt;width:29.6pt;height:2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" fillcolor="window" stroked="f" strokeweight=".5pt">
                <v:textbox>
                  <w:txbxContent>
                    <w:p w14:paraId="25703876" w14:textId="77777777" w:rsidR="005B6418" w:rsidRDefault="005B6418" w:rsidP="005B6418">
                      <w:r>
                        <w:t>(a)</w:t>
                      </w:r>
                    </w:p>
                  </w:txbxContent>
                </v:textbox>
              </v:shape>
            </w:pict>
          </mc:Fallback>
        </mc:AlternateContent>
      </w:r>
      <w:r w:rsidRPr="00A20A17">
        <w:rPr>
          <w:rFonts w:ascii="Calibri" w:eastAsia="Calibri" w:hAnsi="Calibri" w:cs="Times New Roman"/>
          <w:noProof/>
          <w:lang w:eastAsia="en-GB"/>
        </w:rPr>
        <w:drawing>
          <wp:inline distT="0" distB="0" distL="0" distR="0" wp14:anchorId="596D70EC" wp14:editId="569203AC">
            <wp:extent cx="4333460" cy="2663190"/>
            <wp:effectExtent l="19050" t="19050" r="10160" b="2286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1" t="8291" r="3149"/>
                    <a:stretch/>
                  </pic:blipFill>
                  <pic:spPr bwMode="auto">
                    <a:xfrm>
                      <a:off x="0" y="0"/>
                      <a:ext cx="4359318" cy="2679082"/>
                    </a:xfrm>
                    <a:prstGeom prst="rect">
                      <a:avLst/>
                    </a:prstGeom>
                    <a:noFill/>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Pr="00A20A17">
        <w:rPr>
          <w:rFonts w:ascii="Calibri" w:eastAsia="Calibri" w:hAnsi="Calibri" w:cs="Times New Roman"/>
          <w:noProof/>
          <w:lang w:eastAsia="en-GB"/>
        </w:rPr>
        <w:drawing>
          <wp:inline distT="0" distB="0" distL="0" distR="0" wp14:anchorId="3AA3B394" wp14:editId="352D034B">
            <wp:extent cx="4350160" cy="2769080"/>
            <wp:effectExtent l="19050" t="19050" r="12700" b="1270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rotWithShape="1">
                    <a:blip r:embed="rId15"/>
                    <a:srcRect t="6764" r="2913"/>
                    <a:stretch/>
                  </pic:blipFill>
                  <pic:spPr bwMode="auto">
                    <a:xfrm>
                      <a:off x="0" y="0"/>
                      <a:ext cx="4372747" cy="2783457"/>
                    </a:xfrm>
                    <a:prstGeom prst="rect">
                      <a:avLst/>
                    </a:prstGeom>
                    <a:ln w="12700">
                      <a:solidFill>
                        <a:sysClr val="windowText" lastClr="000000"/>
                      </a:solidFill>
                    </a:ln>
                    <a:extLst>
                      <a:ext uri="{53640926-AAD7-44D8-BBD7-CCE9431645EC}">
                        <a14:shadowObscured xmlns:a14="http://schemas.microsoft.com/office/drawing/2010/main"/>
                      </a:ext>
                    </a:extLst>
                  </pic:spPr>
                </pic:pic>
              </a:graphicData>
            </a:graphic>
          </wp:inline>
        </w:drawing>
      </w:r>
    </w:p>
    <w:p w14:paraId="7E3AE9ED" w14:textId="77777777" w:rsidR="005B6418" w:rsidRPr="00A20A17" w:rsidRDefault="005B6418" w:rsidP="005B6418">
      <w:pPr>
        <w:spacing w:after="120"/>
        <w:rPr>
          <w:rFonts w:eastAsia="Calibri" w:cs="Arial"/>
        </w:rPr>
      </w:pPr>
    </w:p>
    <w:p w14:paraId="352D2BA0" w14:textId="77777777" w:rsidR="005B6418" w:rsidRPr="00A20A17" w:rsidRDefault="005B6418" w:rsidP="005B6418">
      <w:pPr>
        <w:spacing w:after="120"/>
        <w:rPr>
          <w:rFonts w:eastAsia="Calibri" w:cs="Arial"/>
        </w:rPr>
      </w:pPr>
      <w:r w:rsidRPr="00A20A17">
        <w:rPr>
          <w:rFonts w:eastAsia="Calibri" w:cs="Arial"/>
        </w:rPr>
        <w:t xml:space="preserve">Survival predictions for the covariate values in Perak were generated for each model. For comparability reasons, these were then adjusted to Perak et al </w:t>
      </w:r>
      <w:r w:rsidRPr="00A20A17">
        <w:rPr>
          <w:rFonts w:eastAsia="Calibri" w:cs="Arial"/>
        </w:rPr>
        <w:fldChar w:fldCharType="begin"/>
      </w:r>
      <w:r w:rsidRPr="00A20A17">
        <w:rPr>
          <w:rFonts w:eastAsia="Calibri" w:cs="Arial"/>
        </w:rPr>
        <w:instrText xml:space="preserve"> ADDIN EN.CITE &lt;EndNote&gt;&lt;Cite&gt;&lt;Author&gt;Perak&lt;/Author&gt;&lt;Year&gt;2016&lt;/Year&gt;&lt;IDText&gt;Long-Term Risk of Atherosclerotic Cardiovascular Disease in US Adults With the Familial Hypercholesterolemia Phenotype&lt;/IDText&gt;&lt;DisplayText&gt;(14)&lt;/DisplayText&gt;&lt;record&gt;&lt;dates&gt;&lt;pub-dates&gt;&lt;date&gt;Jul&lt;/date&gt;&lt;/pub-dates&gt;&lt;year&gt;2016&lt;/year&gt;&lt;/dates&gt;&lt;keywords&gt;&lt;keyword&gt;Adult&lt;/keyword&gt;&lt;keyword&gt;Aged&lt;/keyword&gt;&lt;keyword&gt;Atherosclerosis&lt;/keyword&gt;&lt;keyword&gt;Cholesterol, LDL&lt;/keyword&gt;&lt;keyword&gt;Cohort Studies&lt;/keyword&gt;&lt;keyword&gt;Female&lt;/keyword&gt;&lt;keyword&gt;Genotype&lt;/keyword&gt;&lt;keyword&gt;Humans&lt;/keyword&gt;&lt;keyword&gt;Hyperlipoproteinemia Type II&lt;/keyword&gt;&lt;keyword&gt;Lipids&lt;/keyword&gt;&lt;keyword&gt;Male&lt;/keyword&gt;&lt;keyword&gt;Middle Aged&lt;/keyword&gt;&lt;keyword&gt;Phenotype&lt;/keyword&gt;&lt;keyword&gt;Prevalence&lt;/keyword&gt;&lt;keyword&gt;Proportional Hazards Models&lt;/keyword&gt;&lt;keyword&gt;Risk&lt;/keyword&gt;&lt;keyword&gt;United States&lt;/keyword&gt;&lt;keyword&gt;Young Adult&lt;/keyword&gt;&lt;keyword&gt;coronary disease&lt;/keyword&gt;&lt;keyword&gt;epidemiology&lt;/keyword&gt;&lt;keyword&gt;hypercholesterolemia&lt;/keyword&gt;&lt;/keywords&gt;&lt;urls&gt;&lt;related-urls&gt;&lt;url&gt;https://www.ncbi.nlm.nih.gov/pubmed/27358432&lt;/url&gt;&lt;/related-urls&gt;&lt;/urls&gt;&lt;isbn&gt;1524-4539&lt;/isbn&gt;&lt;custom2&gt;PMC4933328&lt;/custom2&gt;&lt;titles&gt;&lt;title&gt;Long-Term Risk of Atherosclerotic Cardiovascular Disease in US Adults With the Familial Hypercholesterolemia Phenotype&lt;/title&gt;&lt;secondary-title&gt;Circulation&lt;/secondary-title&gt;&lt;/titles&gt;&lt;pages&gt;9-19&lt;/pages&gt;&lt;number&gt;1&lt;/number&gt;&lt;contributors&gt;&lt;authors&gt;&lt;author&gt;Perak, A. M.&lt;/author&gt;&lt;author&gt;Ning, H.&lt;/author&gt;&lt;author&gt;de Ferranti, S. D.&lt;/author&gt;&lt;author&gt;Gooding, H. C.&lt;/author&gt;&lt;author&gt;Wilkins, J. T.&lt;/author&gt;&lt;author&gt;Lloyd-Jones, D. M.&lt;/author&gt;&lt;/authors&gt;&lt;/contributors&gt;&lt;language&gt;eng&lt;/language&gt;&lt;added-date format="utc"&gt;1620658713&lt;/added-date&gt;&lt;ref-type name="Journal Article"&gt;17&lt;/ref-type&gt;&lt;rec-number&gt;141&lt;/rec-number&gt;&lt;last-updated-date format="utc"&gt;1620658713&lt;/last-updated-date&gt;&lt;accession-num&gt;27358432&lt;/accession-num&gt;&lt;electronic-resource-num&gt;10.1161/CIRCULATIONAHA.116.022335&lt;/electronic-resource-num&gt;&lt;volume&gt;134&lt;/volume&gt;&lt;/record&gt;&lt;/Cite&gt;&lt;/EndNote&gt;</w:instrText>
      </w:r>
      <w:r w:rsidRPr="00A20A17">
        <w:rPr>
          <w:rFonts w:eastAsia="Calibri" w:cs="Arial"/>
        </w:rPr>
        <w:fldChar w:fldCharType="separate"/>
      </w:r>
      <w:r w:rsidRPr="00A20A17">
        <w:rPr>
          <w:rFonts w:eastAsia="Calibri" w:cs="Arial"/>
          <w:noProof/>
        </w:rPr>
        <w:t>(14)</w:t>
      </w:r>
      <w:r w:rsidRPr="00A20A17">
        <w:rPr>
          <w:rFonts w:eastAsia="Calibri" w:cs="Arial"/>
        </w:rPr>
        <w:fldChar w:fldCharType="end"/>
      </w:r>
      <w:r w:rsidRPr="00A20A17">
        <w:rPr>
          <w:rFonts w:eastAsia="Calibri" w:cs="Arial"/>
        </w:rPr>
        <w:t xml:space="preserve">. The adjustment involved removing the impact of TIA and stroke first events from the predicted CVD risks obtained from applying different survival models to the CPRD data. Also, most patients in the Perak et al </w:t>
      </w:r>
      <w:r w:rsidRPr="00A20A17">
        <w:rPr>
          <w:rFonts w:eastAsia="Calibri" w:cs="Arial"/>
        </w:rPr>
        <w:fldChar w:fldCharType="begin"/>
      </w:r>
      <w:r w:rsidRPr="00A20A17">
        <w:rPr>
          <w:rFonts w:eastAsia="Calibri" w:cs="Arial"/>
        </w:rPr>
        <w:instrText xml:space="preserve"> ADDIN EN.CITE &lt;EndNote&gt;&lt;Cite&gt;&lt;Author&gt;Perak&lt;/Author&gt;&lt;Year&gt;2016&lt;/Year&gt;&lt;IDText&gt;Long-Term Risk of Atherosclerotic Cardiovascular Disease in US Adults With the Familial Hypercholesterolemia Phenotype&lt;/IDText&gt;&lt;DisplayText&gt;(14)&lt;/DisplayText&gt;&lt;record&gt;&lt;dates&gt;&lt;pub-dates&gt;&lt;date&gt;Jul&lt;/date&gt;&lt;/pub-dates&gt;&lt;year&gt;2016&lt;/year&gt;&lt;/dates&gt;&lt;keywords&gt;&lt;keyword&gt;Adult&lt;/keyword&gt;&lt;keyword&gt;Aged&lt;/keyword&gt;&lt;keyword&gt;Atherosclerosis&lt;/keyword&gt;&lt;keyword&gt;Cholesterol, LDL&lt;/keyword&gt;&lt;keyword&gt;Cohort Studies&lt;/keyword&gt;&lt;keyword&gt;Female&lt;/keyword&gt;&lt;keyword&gt;Genotype&lt;/keyword&gt;&lt;keyword&gt;Humans&lt;/keyword&gt;&lt;keyword&gt;Hyperlipoproteinemia Type II&lt;/keyword&gt;&lt;keyword&gt;Lipids&lt;/keyword&gt;&lt;keyword&gt;Male&lt;/keyword&gt;&lt;keyword&gt;Middle Aged&lt;/keyword&gt;&lt;keyword&gt;Phenotype&lt;/keyword&gt;&lt;keyword&gt;Prevalence&lt;/keyword&gt;&lt;keyword&gt;Proportional Hazards Models&lt;/keyword&gt;&lt;keyword&gt;Risk&lt;/keyword&gt;&lt;keyword&gt;United States&lt;/keyword&gt;&lt;keyword&gt;Young Adult&lt;/keyword&gt;&lt;keyword&gt;coronary disease&lt;/keyword&gt;&lt;keyword&gt;epidemiology&lt;/keyword&gt;&lt;keyword&gt;hypercholesterolemia&lt;/keyword&gt;&lt;/keywords&gt;&lt;urls&gt;&lt;related-urls&gt;&lt;url&gt;https://www.ncbi.nlm.nih.gov/pubmed/27358432&lt;/url&gt;&lt;/related-urls&gt;&lt;/urls&gt;&lt;isbn&gt;1524-4539&lt;/isbn&gt;&lt;custom2&gt;PMC4933328&lt;/custom2&gt;&lt;titles&gt;&lt;title&gt;Long-Term Risk of Atherosclerotic Cardiovascular Disease in US Adults With the Familial Hypercholesterolemia Phenotype&lt;/title&gt;&lt;secondary-title&gt;Circulation&lt;/secondary-title&gt;&lt;/titles&gt;&lt;pages&gt;9-19&lt;/pages&gt;&lt;number&gt;1&lt;/number&gt;&lt;contributors&gt;&lt;authors&gt;&lt;author&gt;Perak, A. M.&lt;/author&gt;&lt;author&gt;Ning, H.&lt;/author&gt;&lt;author&gt;de Ferranti, S. D.&lt;/author&gt;&lt;author&gt;Gooding, H. C.&lt;/author&gt;&lt;author&gt;Wilkins, J. T.&lt;/author&gt;&lt;author&gt;Lloyd-Jones, D. M.&lt;/author&gt;&lt;/authors&gt;&lt;/contributors&gt;&lt;language&gt;eng&lt;/language&gt;&lt;added-date format="utc"&gt;1620658713&lt;/added-date&gt;&lt;ref-type name="Journal Article"&gt;17&lt;/ref-type&gt;&lt;rec-number&gt;141&lt;/rec-number&gt;&lt;last-updated-date format="utc"&gt;1620658713&lt;/last-updated-date&gt;&lt;accession-num&gt;27358432&lt;/accession-num&gt;&lt;electronic-resource-num&gt;10.1161/CIRCULATIONAHA.116.022335&lt;/electronic-resource-num&gt;&lt;volume&gt;134&lt;/volume&gt;&lt;/record&gt;&lt;/Cite&gt;&lt;/EndNote&gt;</w:instrText>
      </w:r>
      <w:r w:rsidRPr="00A20A17">
        <w:rPr>
          <w:rFonts w:eastAsia="Calibri" w:cs="Arial"/>
        </w:rPr>
        <w:fldChar w:fldCharType="separate"/>
      </w:r>
      <w:r w:rsidRPr="00A20A17">
        <w:rPr>
          <w:rFonts w:eastAsia="Calibri" w:cs="Arial"/>
          <w:noProof/>
        </w:rPr>
        <w:t>(14)</w:t>
      </w:r>
      <w:r w:rsidRPr="00A20A17">
        <w:rPr>
          <w:rFonts w:eastAsia="Calibri" w:cs="Arial"/>
        </w:rPr>
        <w:fldChar w:fldCharType="end"/>
      </w:r>
      <w:r w:rsidRPr="00A20A17">
        <w:rPr>
          <w:rFonts w:eastAsia="Calibri" w:cs="Arial"/>
        </w:rPr>
        <w:t xml:space="preserve"> cohort were untreated at baseline, and treatment rates were assumed low during the (up to) 30 year’s follow-up. Thus, the treatment effect from the predicted CVD risks in CPRD was removed by considering an estimated LDL-C reduction from response to LLT of 32.6% (see Table 3.3) and a rate ratio of 0.79 reduction in CVD per 1 mmol/L reduction in LDL-C </w:t>
      </w:r>
      <w:r w:rsidRPr="00A20A17">
        <w:rPr>
          <w:rFonts w:eastAsia="Calibri" w:cs="Arial"/>
        </w:rPr>
        <w:fldChar w:fldCharType="begin">
          <w:fldData xml:space="preserve">PEVuZE5vdGU+PENpdGU+PEF1dGhvcj5GdWxjaGVyPC9BdXRob3I+PFllYXI+MjAxNTwvWWVhcj48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</w:fldData>
        </w:fldChar>
      </w:r>
      <w:r w:rsidRPr="00A20A17">
        <w:rPr>
          <w:rFonts w:eastAsia="Calibri" w:cs="Arial"/>
        </w:rPr>
        <w:instrText xml:space="preserve"> ADDIN EN.CITE </w:instrText>
      </w:r>
      <w:r w:rsidRPr="00A20A17">
        <w:rPr>
          <w:rFonts w:eastAsia="Calibri" w:cs="Arial"/>
        </w:rPr>
        <w:fldChar w:fldCharType="begin">
          <w:fldData xml:space="preserve">PEVuZE5vdGU+PENpdGU+PEF1dGhvcj5GdWxjaGVyPC9BdXRob3I+PFllYXI+MjAxNTwvWWVhcj48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</w:fldData>
        </w:fldChar>
      </w:r>
      <w:r w:rsidRPr="00A20A17">
        <w:rPr>
          <w:rFonts w:eastAsia="Calibri" w:cs="Arial"/>
        </w:rPr>
        <w:instrText xml:space="preserve"> ADDIN EN.CITE.DATA </w:instrText>
      </w:r>
      <w:r w:rsidRPr="00A20A17">
        <w:rPr>
          <w:rFonts w:eastAsia="Calibri" w:cs="Arial"/>
        </w:rPr>
      </w:r>
      <w:r w:rsidRPr="00A20A17">
        <w:rPr>
          <w:rFonts w:eastAsia="Calibri" w:cs="Arial"/>
        </w:rPr>
        <w:fldChar w:fldCharType="end"/>
      </w:r>
      <w:r w:rsidRPr="00A20A17">
        <w:rPr>
          <w:rFonts w:eastAsia="Calibri" w:cs="Arial"/>
        </w:rPr>
      </w:r>
      <w:r w:rsidRPr="00A20A17">
        <w:rPr>
          <w:rFonts w:eastAsia="Calibri" w:cs="Arial"/>
        </w:rPr>
        <w:fldChar w:fldCharType="separate"/>
      </w:r>
      <w:r w:rsidRPr="00A20A17">
        <w:rPr>
          <w:rFonts w:eastAsia="Calibri" w:cs="Arial"/>
          <w:noProof/>
        </w:rPr>
        <w:t>(15)</w:t>
      </w:r>
      <w:r w:rsidRPr="00A20A17">
        <w:rPr>
          <w:rFonts w:eastAsia="Calibri" w:cs="Arial"/>
        </w:rPr>
        <w:fldChar w:fldCharType="end"/>
      </w:r>
      <w:r w:rsidRPr="00A20A17">
        <w:rPr>
          <w:rFonts w:eastAsia="Calibri" w:cs="Arial"/>
        </w:rPr>
        <w:t xml:space="preserve">. These adjustments produced comparable parametric predictions for the different survival models and for each age-related patient profile in Perak et al </w:t>
      </w:r>
      <w:r w:rsidRPr="00A20A17">
        <w:rPr>
          <w:rFonts w:eastAsia="Calibri" w:cs="Arial"/>
        </w:rPr>
        <w:fldChar w:fldCharType="begin"/>
      </w:r>
      <w:r w:rsidRPr="00A20A17">
        <w:rPr>
          <w:rFonts w:eastAsia="Calibri" w:cs="Arial"/>
        </w:rPr>
        <w:instrText xml:space="preserve"> ADDIN EN.CITE &lt;EndNote&gt;&lt;Cite&gt;&lt;Author&gt;Perak&lt;/Author&gt;&lt;Year&gt;2016&lt;/Year&gt;&lt;IDText&gt;Long-Term Risk of Atherosclerotic Cardiovascular Disease in US Adults With the Familial Hypercholesterolemia Phenotype&lt;/IDText&gt;&lt;DisplayText&gt;(14)&lt;/DisplayText&gt;&lt;record&gt;&lt;dates&gt;&lt;pub-dates&gt;&lt;date&gt;Jul&lt;/date&gt;&lt;/pub-dates&gt;&lt;year&gt;2016&lt;/year&gt;&lt;/dates&gt;&lt;keywords&gt;&lt;keyword&gt;Adult&lt;/keyword&gt;&lt;keyword&gt;Aged&lt;/keyword&gt;&lt;keyword&gt;Atherosclerosis&lt;/keyword&gt;&lt;keyword&gt;Cholesterol, LDL&lt;/keyword&gt;&lt;keyword&gt;Cohort Studies&lt;/keyword&gt;&lt;keyword&gt;Female&lt;/keyword&gt;&lt;keyword&gt;Genotype&lt;/keyword&gt;&lt;keyword&gt;Humans&lt;/keyword&gt;&lt;keyword&gt;Hyperlipoproteinemia Type II&lt;/keyword&gt;&lt;keyword&gt;Lipids&lt;/keyword&gt;&lt;keyword&gt;Male&lt;/keyword&gt;&lt;keyword&gt;Middle Aged&lt;/keyword&gt;&lt;keyword&gt;Phenotype&lt;/keyword&gt;&lt;keyword&gt;Prevalence&lt;/keyword&gt;&lt;keyword&gt;Proportional Hazards Models&lt;/keyword&gt;&lt;keyword&gt;Risk&lt;/keyword&gt;&lt;keyword&gt;United States&lt;/keyword&gt;&lt;keyword&gt;Young Adult&lt;/keyword&gt;&lt;keyword&gt;coronary disease&lt;/keyword&gt;&lt;keyword&gt;epidemiology&lt;/keyword&gt;&lt;keyword&gt;hypercholesterolemia&lt;/keyword&gt;&lt;/keywords&gt;&lt;urls&gt;&lt;related-urls&gt;&lt;url&gt;https://www.ncbi.nlm.nih.gov/pubmed/27358432&lt;/url&gt;&lt;/related-urls&gt;&lt;/urls&gt;&lt;isbn&gt;1524-4539&lt;/isbn&gt;&lt;custom2&gt;PMC4933328&lt;/custom2&gt;&lt;titles&gt;&lt;title&gt;Long-Term Risk of Atherosclerotic Cardiovascular Disease in US Adults With the Familial Hypercholesterolemia Phenotype&lt;/title&gt;&lt;secondary-title&gt;Circulation&lt;/secondary-title&gt;&lt;/titles&gt;&lt;pages&gt;9-19&lt;/pages&gt;&lt;number&gt;1&lt;/number&gt;&lt;contributors&gt;&lt;authors&gt;&lt;author&gt;Perak, A. M.&lt;/author&gt;&lt;author&gt;Ning, H.&lt;/author&gt;&lt;author&gt;de Ferranti, S. D.&lt;/author&gt;&lt;author&gt;Gooding, H. C.&lt;/author&gt;&lt;author&gt;Wilkins, J. T.&lt;/author&gt;&lt;author&gt;Lloyd-Jones, D. M.&lt;/author&gt;&lt;/authors&gt;&lt;/contributors&gt;&lt;language&gt;eng&lt;/language&gt;&lt;added-date format="utc"&gt;1620658713&lt;/added-date&gt;&lt;ref-type name="Journal Article"&gt;17&lt;/ref-type&gt;&lt;rec-number&gt;141&lt;/rec-number&gt;&lt;last-updated-date format="utc"&gt;1620658713&lt;/last-updated-date&gt;&lt;accession-num&gt;27358432&lt;/accession-num&gt;&lt;electronic-resource-num&gt;10.1161/CIRCULATIONAHA.116.022335&lt;/electronic-resource-num&gt;&lt;volume&gt;134&lt;/volume&gt;&lt;/record&gt;&lt;/Cite&gt;&lt;/EndNote&gt;</w:instrText>
      </w:r>
      <w:r w:rsidRPr="00A20A17">
        <w:rPr>
          <w:rFonts w:eastAsia="Calibri" w:cs="Arial"/>
        </w:rPr>
        <w:fldChar w:fldCharType="separate"/>
      </w:r>
      <w:r w:rsidRPr="00A20A17">
        <w:rPr>
          <w:rFonts w:eastAsia="Calibri" w:cs="Arial"/>
          <w:noProof/>
        </w:rPr>
        <w:t>(14)</w:t>
      </w:r>
      <w:r w:rsidRPr="00A20A17">
        <w:rPr>
          <w:rFonts w:eastAsia="Calibri" w:cs="Arial"/>
        </w:rPr>
        <w:fldChar w:fldCharType="end"/>
      </w:r>
      <w:r w:rsidRPr="00A20A17">
        <w:rPr>
          <w:rFonts w:eastAsia="Calibri" w:cs="Arial"/>
        </w:rPr>
        <w:t xml:space="preserve">. Figure 3.3 shows the survival and 1-year conditional survival curves for the 50-59 FH patient profile, which matches the average FH patient age in the CPRD cohort. </w:t>
      </w:r>
      <w:r w:rsidRPr="00A20A17">
        <w:rPr>
          <w:rFonts w:eastAsia="Times New Roman" w:cs="Arial"/>
          <w:color w:val="000000"/>
          <w:lang w:eastAsia="en-GB"/>
        </w:rPr>
        <w:t>Overall the Perak data suggested a higher event rate from year 10 onwards than all models fitted to CPRD with the exception of the exponential model. Therefore, although the exponential model did not provide a good fit to the observed data, it was selected for use within a sensitivity analysis.</w:t>
      </w:r>
    </w:p>
    <w:p w14:paraId="20EF73B7" w14:textId="77777777" w:rsidR="005B6418" w:rsidRPr="00A20A17" w:rsidRDefault="005B6418" w:rsidP="005B6418">
      <w:pPr>
        <w:spacing w:after="0" w:line="240" w:lineRule="auto"/>
        <w:rPr>
          <w:rFonts w:eastAsia="Times New Roman" w:cs="Arial"/>
          <w:color w:val="000000"/>
          <w:lang w:eastAsia="en-GB"/>
        </w:rPr>
      </w:pPr>
    </w:p>
    <w:p w14:paraId="1D36FE1D" w14:textId="77777777" w:rsidR="005B6418" w:rsidRPr="00A20A17" w:rsidRDefault="005B6418" w:rsidP="005B6418">
      <w:pPr>
        <w:spacing w:after="0" w:line="240" w:lineRule="auto"/>
        <w:rPr>
          <w:rFonts w:ascii="Times New Roman" w:eastAsia="Times New Roman" w:hAnsi="Times New Roman" w:cs="Times New Roman"/>
          <w:sz w:val="24"/>
          <w:szCs w:val="24"/>
          <w:lang w:eastAsia="en-GB"/>
        </w:rPr>
      </w:pPr>
      <w:r w:rsidRPr="00A20A17">
        <w:rPr>
          <w:rFonts w:eastAsia="Times New Roman" w:cs="Arial"/>
          <w:color w:val="000000"/>
          <w:lang w:eastAsia="en-GB"/>
        </w:rPr>
        <w:t xml:space="preserve">Figure 3.3: (a) Predicted CVD risk in the 50-59 age group for each fitted survival model, overlaid by Perak et al (2016) Kaplan-Meier data for this age group; and (b) 1-year conditional survival in the 50-59 age group for each fitted survival model, overlaid by 1-year conditional survival Perak et al (2016) data for this age group. </w:t>
      </w:r>
    </w:p>
    <w:p w14:paraId="61BF4EB6" w14:textId="77777777" w:rsidR="005B6418" w:rsidRPr="00A20A17" w:rsidRDefault="005B6418" w:rsidP="005B6418">
      <w:pPr>
        <w:spacing w:after="120"/>
        <w:rPr>
          <w:rFonts w:eastAsia="Calibri" w:cs="Arial"/>
          <w:b/>
          <w:bCs/>
        </w:rPr>
      </w:pPr>
      <w:r w:rsidRPr="00A20A17">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1AE41583" wp14:editId="3B19FE15">
                <wp:simplePos x="0" y="0"/>
                <wp:positionH relativeFrom="column">
                  <wp:posOffset>436664</wp:posOffset>
                </wp:positionH>
                <wp:positionV relativeFrom="paragraph">
                  <wp:posOffset>2583887</wp:posOffset>
                </wp:positionV>
                <wp:extent cx="914400" cy="336499"/>
                <wp:effectExtent l="0" t="0" r="0" b="6985"/>
                <wp:wrapNone/>
                <wp:docPr id="2" name="Text Box 2"/>
                <wp:cNvGraphicFramePr/>
                <a:graphic xmlns:a="http://schemas.openxmlformats.org/drawingml/2006/main">
                  <a:graphicData uri="http://schemas.microsoft.com/office/word/2010/wordprocessingShape">
                    <wps:wsp>
                      <wps:cNvSpPr txBox="1"/>
                      <wps:spPr>
                        <a:xfrm>
                          <a:off x="0" y="0"/>
                          <a:ext cx="914400" cy="336499"/>
                        </a:xfrm>
                        <a:prstGeom prst="rect">
                          <a:avLst/>
                        </a:prstGeom>
                        <a:noFill/>
                        <a:ln w="6350">
                          <a:noFill/>
                        </a:ln>
                      </wps:spPr>
                      <wps:txbx>
                        <w:txbxContent>
                          <w:p w14:paraId="03C0D2FB"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E41583" id="Text Box 2" o:spid="_x0000_s1031" type="#_x0000_t202" style="position:absolute;margin-left:34.4pt;margin-top:203.45pt;width:1in;height:26.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" filled="f" stroked="f" strokeweight=".5pt">
                <v:textbox>
                  <w:txbxContent>
                    <w:p w14:paraId="03C0D2FB"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(b)</w:t>
                      </w:r>
                    </w:p>
                  </w:txbxContent>
                </v:textbox>
              </v:shape>
            </w:pict>
          </mc:Fallback>
        </mc:AlternateContent>
      </w:r>
      <w:r w:rsidRPr="00A20A17">
        <w:rPr>
          <w:rFonts w:ascii="Calibri" w:eastAsia="Calibri" w:hAnsi="Calibri" w:cs="Times New Roman"/>
          <w:noProof/>
          <w:lang w:eastAsia="en-GB"/>
        </w:rPr>
        <mc:AlternateContent>
          <mc:Choice Requires="wps">
            <w:drawing>
              <wp:anchor distT="0" distB="0" distL="114300" distR="114300" simplePos="0" relativeHeight="251659264" behindDoc="0" locked="0" layoutInCell="1" allowOverlap="1" wp14:anchorId="6F354E02" wp14:editId="6AFE8F85">
                <wp:simplePos x="0" y="0"/>
                <wp:positionH relativeFrom="column">
                  <wp:posOffset>466090</wp:posOffset>
                </wp:positionH>
                <wp:positionV relativeFrom="paragraph">
                  <wp:posOffset>480060</wp:posOffset>
                </wp:positionV>
                <wp:extent cx="914400" cy="336499"/>
                <wp:effectExtent l="0" t="0" r="1905" b="6985"/>
                <wp:wrapNone/>
                <wp:docPr id="1" name="Text Box 1"/>
                <wp:cNvGraphicFramePr/>
                <a:graphic xmlns:a="http://schemas.openxmlformats.org/drawingml/2006/main">
                  <a:graphicData uri="http://schemas.microsoft.com/office/word/2010/wordprocessingShape">
                    <wps:wsp>
                      <wps:cNvSpPr txBox="1"/>
                      <wps:spPr>
                        <a:xfrm>
                          <a:off x="0" y="0"/>
                          <a:ext cx="914400" cy="336499"/>
                        </a:xfrm>
                        <a:prstGeom prst="rect">
                          <a:avLst/>
                        </a:prstGeom>
                        <a:solidFill>
                          <a:sysClr val="window" lastClr="FFFFFF"/>
                        </a:solidFill>
                        <a:ln w="6350">
                          <a:noFill/>
                        </a:ln>
                      </wps:spPr>
                      <wps:txbx>
                        <w:txbxContent>
                          <w:p w14:paraId="715444B3" w14:textId="77777777" w:rsidR="005B6418" w:rsidRDefault="005B6418" w:rsidP="005B6418">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354E02" id="Text Box 1" o:spid="_x0000_s1032" type="#_x0000_t202" style="position:absolute;margin-left:36.7pt;margin-top:37.8pt;width:1in;height:26.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" fillcolor="window" stroked="f" strokeweight=".5pt">
                <v:textbox>
                  <w:txbxContent>
                    <w:p w14:paraId="715444B3" w14:textId="77777777" w:rsidR="005B6418" w:rsidRDefault="005B6418" w:rsidP="005B6418">
                      <w:r>
                        <w:t>(a)</w:t>
                      </w:r>
                    </w:p>
                  </w:txbxContent>
                </v:textbox>
              </v:shape>
            </w:pict>
          </mc:Fallback>
        </mc:AlternateContent>
      </w:r>
      <w:r w:rsidRPr="00A20A17">
        <w:rPr>
          <w:rFonts w:ascii="Calibri" w:eastAsia="Calibri" w:hAnsi="Calibri" w:cs="Times New Roman"/>
          <w:noProof/>
          <w:lang w:eastAsia="en-GB"/>
        </w:rPr>
        <w:drawing>
          <wp:inline distT="0" distB="0" distL="0" distR="0" wp14:anchorId="42D4D7A1" wp14:editId="7A610E22">
            <wp:extent cx="4302229" cy="2317750"/>
            <wp:effectExtent l="19050" t="19050" r="22225" b="25400"/>
            <wp:docPr id="9" name="Picture 9" descr="Pera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rak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7604" r="5543" b="2152"/>
                    <a:stretch/>
                  </pic:blipFill>
                  <pic:spPr bwMode="auto">
                    <a:xfrm>
                      <a:off x="0" y="0"/>
                      <a:ext cx="4322298" cy="2328562"/>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r w:rsidRPr="00A20A17">
        <w:rPr>
          <w:rFonts w:ascii="Calibri" w:eastAsia="Calibri" w:hAnsi="Calibri" w:cs="Times New Roman"/>
          <w:noProof/>
          <w:lang w:eastAsia="en-GB"/>
        </w:rPr>
        <w:drawing>
          <wp:inline distT="0" distB="0" distL="0" distR="0" wp14:anchorId="7868159A" wp14:editId="4C119A79">
            <wp:extent cx="4302125" cy="2895600"/>
            <wp:effectExtent l="19050" t="19050" r="22225" b="19050"/>
            <wp:docPr id="10" name="Picture 10" descr="Per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rak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8035" r="5543" b="1996"/>
                    <a:stretch/>
                  </pic:blipFill>
                  <pic:spPr bwMode="auto">
                    <a:xfrm>
                      <a:off x="0" y="0"/>
                      <a:ext cx="4302125" cy="2895600"/>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p>
    <w:p w14:paraId="033B9475" w14:textId="77777777" w:rsidR="005B6418" w:rsidRPr="00A20A17" w:rsidRDefault="005B6418" w:rsidP="005B6418">
      <w:pPr>
        <w:spacing w:after="120"/>
        <w:rPr>
          <w:rFonts w:eastAsia="Calibri" w:cs="Arial"/>
          <w:b/>
          <w:bCs/>
        </w:rPr>
      </w:pPr>
    </w:p>
    <w:p w14:paraId="1FBAF50B" w14:textId="77777777" w:rsidR="005B6418" w:rsidRPr="00A20A17" w:rsidRDefault="005B6418" w:rsidP="005B6418">
      <w:pPr>
        <w:spacing w:after="120"/>
        <w:rPr>
          <w:rFonts w:eastAsia="Calibri" w:cs="Arial"/>
          <w:b/>
          <w:bCs/>
        </w:rPr>
      </w:pPr>
    </w:p>
    <w:p w14:paraId="625764BD" w14:textId="77777777" w:rsidR="005B6418" w:rsidRPr="00A20A17" w:rsidRDefault="005B6418" w:rsidP="005B6418">
      <w:pPr>
        <w:numPr>
          <w:ilvl w:val="1"/>
          <w:numId w:val="1"/>
        </w:numPr>
        <w:spacing w:after="120" w:line="259" w:lineRule="auto"/>
        <w:ind w:left="284" w:hanging="284"/>
        <w:contextualSpacing/>
        <w:rPr>
          <w:rFonts w:eastAsia="Calibri" w:cs="Arial"/>
          <w:b/>
          <w:bCs/>
          <w:sz w:val="24"/>
          <w:szCs w:val="24"/>
        </w:rPr>
      </w:pPr>
      <w:r w:rsidRPr="00A20A17">
        <w:rPr>
          <w:rFonts w:eastAsia="Calibri" w:cs="Arial"/>
          <w:b/>
          <w:bCs/>
          <w:sz w:val="24"/>
          <w:szCs w:val="24"/>
        </w:rPr>
        <w:t>Mortality following non-fatal CVD events</w:t>
      </w:r>
    </w:p>
    <w:p w14:paraId="4DC08AEA" w14:textId="77777777" w:rsidR="005B6418" w:rsidRPr="00A20A17" w:rsidRDefault="005B6418" w:rsidP="005B6418">
      <w:pPr>
        <w:spacing w:after="120"/>
        <w:rPr>
          <w:rFonts w:eastAsia="Calibri" w:cs="Arial"/>
        </w:rPr>
      </w:pPr>
      <w:r w:rsidRPr="00A20A17">
        <w:rPr>
          <w:rFonts w:eastAsia="Calibri" w:cs="Arial"/>
        </w:rPr>
        <w:t>Figure 3.4 (a) and (b) shows the Kaplan-Meier survival estimates for death for any reason from relevant non-fatal CVD events, respectively.</w:t>
      </w:r>
    </w:p>
    <w:p w14:paraId="6E9E0E31" w14:textId="77777777" w:rsidR="005B6418" w:rsidRPr="00A20A17" w:rsidRDefault="005B6418" w:rsidP="005B6418">
      <w:pPr>
        <w:spacing w:after="0" w:line="240" w:lineRule="auto"/>
        <w:rPr>
          <w:rFonts w:eastAsia="Times New Roman" w:cs="Arial"/>
          <w:color w:val="000000"/>
          <w:lang w:eastAsia="en-GB"/>
        </w:rPr>
      </w:pPr>
      <w:r w:rsidRPr="00A20A17">
        <w:rPr>
          <w:rFonts w:eastAsia="Times New Roman" w:cs="Arial"/>
          <w:color w:val="000000"/>
          <w:lang w:eastAsia="en-GB"/>
        </w:rPr>
        <w:t>Figure 3.4: (a) Kaplan-Meier of time to any death following ACS; and (b) Kaplan-Meier of time to any death following TIA/Stroke.</w:t>
      </w:r>
    </w:p>
    <w:p w14:paraId="4093702D" w14:textId="77777777" w:rsidR="005B6418" w:rsidRPr="00A20A17" w:rsidRDefault="005B6418" w:rsidP="005B6418">
      <w:pPr>
        <w:spacing w:after="120"/>
        <w:rPr>
          <w:rFonts w:eastAsia="Calibri" w:cs="Arial"/>
          <w:b/>
          <w:bCs/>
        </w:rPr>
      </w:pPr>
      <w:r w:rsidRPr="00A20A17">
        <w:rPr>
          <w:rFonts w:ascii="Calibri" w:eastAsia="Calibri" w:hAnsi="Calibri" w:cs="Times New Roman"/>
          <w:noProof/>
          <w:lang w:eastAsia="en-GB"/>
        </w:rPr>
        <mc:AlternateContent>
          <mc:Choice Requires="wps">
            <w:drawing>
              <wp:anchor distT="0" distB="0" distL="114300" distR="114300" simplePos="0" relativeHeight="251666432" behindDoc="0" locked="0" layoutInCell="1" allowOverlap="1" wp14:anchorId="5A5FF297" wp14:editId="2DEA7481">
                <wp:simplePos x="0" y="0"/>
                <wp:positionH relativeFrom="column">
                  <wp:posOffset>586440</wp:posOffset>
                </wp:positionH>
                <wp:positionV relativeFrom="paragraph">
                  <wp:posOffset>4260479</wp:posOffset>
                </wp:positionV>
                <wp:extent cx="914400" cy="336499"/>
                <wp:effectExtent l="0" t="0" r="0" b="6985"/>
                <wp:wrapNone/>
                <wp:docPr id="14" name="Text Box 14"/>
                <wp:cNvGraphicFramePr/>
                <a:graphic xmlns:a="http://schemas.openxmlformats.org/drawingml/2006/main">
                  <a:graphicData uri="http://schemas.microsoft.com/office/word/2010/wordprocessingShape">
                    <wps:wsp>
                      <wps:cNvSpPr txBox="1"/>
                      <wps:spPr>
                        <a:xfrm>
                          <a:off x="0" y="0"/>
                          <a:ext cx="914400" cy="336499"/>
                        </a:xfrm>
                        <a:prstGeom prst="rect">
                          <a:avLst/>
                        </a:prstGeom>
                        <a:solidFill>
                          <a:sysClr val="window" lastClr="FFFFFF"/>
                        </a:solidFill>
                        <a:ln w="6350">
                          <a:noFill/>
                        </a:ln>
                      </wps:spPr>
                      <wps:txbx>
                        <w:txbxContent>
                          <w:p w14:paraId="4DB5C5C5"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w:t>
                            </w:r>
                            <w:r>
                              <w:rPr>
                                <w14:textOutline w14:w="9525" w14:cap="rnd" w14:cmpd="sng" w14:algn="ctr">
                                  <w14:noFill/>
                                  <w14:prstDash w14:val="solid"/>
                                  <w14:bevel/>
                                </w14:textOutline>
                              </w:rPr>
                              <w:t>b</w:t>
                            </w:r>
                            <w:r w:rsidRPr="005E0A20">
                              <w:rPr>
                                <w14:textOutline w14:w="9525" w14:cap="rnd" w14:cmpd="sng" w14:algn="ctr">
                                  <w14:noFill/>
                                  <w14:prstDash w14:val="solid"/>
                                  <w14:bevel/>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5FF297" id="Text Box 14" o:spid="_x0000_s1033" type="#_x0000_t202" style="position:absolute;margin-left:46.2pt;margin-top:335.45pt;width:1in;height:26.5pt;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" fillcolor="window" stroked="f" strokeweight=".5pt">
                <v:textbox>
                  <w:txbxContent>
                    <w:p w14:paraId="4DB5C5C5"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w:t>
                      </w:r>
                      <w:r>
                        <w:rPr>
                          <w14:textOutline w14:w="9525" w14:cap="rnd" w14:cmpd="sng" w14:algn="ctr">
                            <w14:noFill/>
                            <w14:prstDash w14:val="solid"/>
                            <w14:bevel/>
                          </w14:textOutline>
                        </w:rPr>
                        <w:t>b</w:t>
                      </w:r>
                      <w:r w:rsidRPr="005E0A20">
                        <w:rPr>
                          <w14:textOutline w14:w="9525" w14:cap="rnd" w14:cmpd="sng" w14:algn="ctr">
                            <w14:noFill/>
                            <w14:prstDash w14:val="solid"/>
                            <w14:bevel/>
                          </w14:textOutline>
                        </w:rPr>
                        <w:t>)</w:t>
                      </w:r>
                    </w:p>
                  </w:txbxContent>
                </v:textbox>
              </v:shape>
            </w:pict>
          </mc:Fallback>
        </mc:AlternateContent>
      </w:r>
      <w:r w:rsidRPr="00A20A17">
        <w:rPr>
          <w:rFonts w:ascii="Calibri" w:eastAsia="Calibri" w:hAnsi="Calibri" w:cs="Times New Roman"/>
          <w:noProof/>
          <w:lang w:eastAsia="en-GB"/>
        </w:rPr>
        <mc:AlternateContent>
          <mc:Choice Requires="wps">
            <w:drawing>
              <wp:anchor distT="0" distB="0" distL="114300" distR="114300" simplePos="0" relativeHeight="251664384" behindDoc="0" locked="0" layoutInCell="1" allowOverlap="1" wp14:anchorId="1684570D" wp14:editId="6E0C4D8F">
                <wp:simplePos x="0" y="0"/>
                <wp:positionH relativeFrom="column">
                  <wp:posOffset>508959</wp:posOffset>
                </wp:positionH>
                <wp:positionV relativeFrom="paragraph">
                  <wp:posOffset>2010590</wp:posOffset>
                </wp:positionV>
                <wp:extent cx="914400" cy="336499"/>
                <wp:effectExtent l="0" t="0" r="0" b="6985"/>
                <wp:wrapNone/>
                <wp:docPr id="13" name="Text Box 13"/>
                <wp:cNvGraphicFramePr/>
                <a:graphic xmlns:a="http://schemas.openxmlformats.org/drawingml/2006/main">
                  <a:graphicData uri="http://schemas.microsoft.com/office/word/2010/wordprocessingShape">
                    <wps:wsp>
                      <wps:cNvSpPr txBox="1"/>
                      <wps:spPr>
                        <a:xfrm>
                          <a:off x="0" y="0"/>
                          <a:ext cx="914400" cy="336499"/>
                        </a:xfrm>
                        <a:prstGeom prst="rect">
                          <a:avLst/>
                        </a:prstGeom>
                        <a:solidFill>
                          <a:sysClr val="window" lastClr="FFFFFF"/>
                        </a:solidFill>
                        <a:ln w="6350">
                          <a:noFill/>
                        </a:ln>
                      </wps:spPr>
                      <wps:txbx>
                        <w:txbxContent>
                          <w:p w14:paraId="737EC610"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w:t>
                            </w:r>
                            <w:r>
                              <w:rPr>
                                <w14:textOutline w14:w="9525" w14:cap="rnd" w14:cmpd="sng" w14:algn="ctr">
                                  <w14:noFill/>
                                  <w14:prstDash w14:val="solid"/>
                                  <w14:bevel/>
                                </w14:textOutline>
                              </w:rPr>
                              <w:t>a</w:t>
                            </w:r>
                            <w:r w:rsidRPr="005E0A20">
                              <w:rPr>
                                <w14:textOutline w14:w="9525" w14:cap="rnd" w14:cmpd="sng" w14:algn="ctr">
                                  <w14:noFill/>
                                  <w14:prstDash w14:val="solid"/>
                                  <w14:bevel/>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84570D" id="Text Box 13" o:spid="_x0000_s1034" type="#_x0000_t202" style="position:absolute;margin-left:40.1pt;margin-top:158.3pt;width:1in;height:26.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" fillcolor="window" stroked="f" strokeweight=".5pt">
                <v:textbox>
                  <w:txbxContent>
                    <w:p w14:paraId="737EC610"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w:t>
                      </w:r>
                      <w:r>
                        <w:rPr>
                          <w14:textOutline w14:w="9525" w14:cap="rnd" w14:cmpd="sng" w14:algn="ctr">
                            <w14:noFill/>
                            <w14:prstDash w14:val="solid"/>
                            <w14:bevel/>
                          </w14:textOutline>
                        </w:rPr>
                        <w:t>a</w:t>
                      </w:r>
                      <w:r w:rsidRPr="005E0A20">
                        <w:rPr>
                          <w14:textOutline w14:w="9525" w14:cap="rnd" w14:cmpd="sng" w14:algn="ctr">
                            <w14:noFill/>
                            <w14:prstDash w14:val="solid"/>
                            <w14:bevel/>
                          </w14:textOutline>
                        </w:rPr>
                        <w:t>)</w:t>
                      </w:r>
                    </w:p>
                  </w:txbxContent>
                </v:textbox>
              </v:shape>
            </w:pict>
          </mc:Fallback>
        </mc:AlternateContent>
      </w:r>
      <w:r w:rsidRPr="00A20A17">
        <w:rPr>
          <w:rFonts w:ascii="Calibri" w:eastAsia="Calibri" w:hAnsi="Calibri" w:cs="Times New Roman"/>
          <w:noProof/>
          <w:lang w:eastAsia="en-GB"/>
        </w:rPr>
        <w:drawing>
          <wp:inline distT="0" distB="0" distL="0" distR="0" wp14:anchorId="69085DDC" wp14:editId="0105A4F5">
            <wp:extent cx="4323283" cy="2707640"/>
            <wp:effectExtent l="19050" t="19050" r="20320" b="16510"/>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chart&#10;&#10;Description automatically generated"/>
                    <pic:cNvPicPr/>
                  </pic:nvPicPr>
                  <pic:blipFill rotWithShape="1">
                    <a:blip r:embed="rId18"/>
                    <a:srcRect t="8035" r="3486" b="1593"/>
                    <a:stretch/>
                  </pic:blipFill>
                  <pic:spPr bwMode="auto">
                    <a:xfrm>
                      <a:off x="0" y="0"/>
                      <a:ext cx="4419074" cy="2767633"/>
                    </a:xfrm>
                    <a:prstGeom prst="rect">
                      <a:avLst/>
                    </a:prstGeom>
                    <a:ln w="12700">
                      <a:solidFill>
                        <a:sysClr val="windowText" lastClr="000000"/>
                      </a:solidFill>
                    </a:ln>
                    <a:extLst>
                      <a:ext uri="{53640926-AAD7-44D8-BBD7-CCE9431645EC}">
                        <a14:shadowObscured xmlns:a14="http://schemas.microsoft.com/office/drawing/2010/main"/>
                      </a:ext>
                    </a:extLst>
                  </pic:spPr>
                </pic:pic>
              </a:graphicData>
            </a:graphic>
          </wp:inline>
        </w:drawing>
      </w:r>
      <w:r w:rsidRPr="00A20A17">
        <w:rPr>
          <w:rFonts w:ascii="Calibri" w:eastAsia="Calibri" w:hAnsi="Calibri" w:cs="Times New Roman"/>
          <w:noProof/>
          <w:lang w:eastAsia="en-GB"/>
        </w:rPr>
        <mc:AlternateContent>
          <mc:Choice Requires="wps">
            <w:drawing>
              <wp:anchor distT="0" distB="0" distL="114300" distR="114300" simplePos="0" relativeHeight="251665408" behindDoc="0" locked="0" layoutInCell="1" allowOverlap="1" wp14:anchorId="5095EAEC" wp14:editId="2262481D">
                <wp:simplePos x="0" y="0"/>
                <wp:positionH relativeFrom="column">
                  <wp:posOffset>538756</wp:posOffset>
                </wp:positionH>
                <wp:positionV relativeFrom="paragraph">
                  <wp:posOffset>1899589</wp:posOffset>
                </wp:positionV>
                <wp:extent cx="914400" cy="336499"/>
                <wp:effectExtent l="0" t="0" r="0" b="6985"/>
                <wp:wrapNone/>
                <wp:docPr id="16" name="Text Box 16"/>
                <wp:cNvGraphicFramePr/>
                <a:graphic xmlns:a="http://schemas.openxmlformats.org/drawingml/2006/main">
                  <a:graphicData uri="http://schemas.microsoft.com/office/word/2010/wordprocessingShape">
                    <wps:wsp>
                      <wps:cNvSpPr txBox="1"/>
                      <wps:spPr>
                        <a:xfrm>
                          <a:off x="0" y="0"/>
                          <a:ext cx="914400" cy="336499"/>
                        </a:xfrm>
                        <a:prstGeom prst="rect">
                          <a:avLst/>
                        </a:prstGeom>
                        <a:solidFill>
                          <a:sysClr val="window" lastClr="FFFFFF"/>
                        </a:solidFill>
                        <a:ln w="6350">
                          <a:noFill/>
                        </a:ln>
                      </wps:spPr>
                      <wps:txbx>
                        <w:txbxContent>
                          <w:p w14:paraId="3A3BC6B8"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w:t>
                            </w:r>
                            <w:r>
                              <w:rPr>
                                <w14:textOutline w14:w="9525" w14:cap="rnd" w14:cmpd="sng" w14:algn="ctr">
                                  <w14:noFill/>
                                  <w14:prstDash w14:val="solid"/>
                                  <w14:bevel/>
                                </w14:textOutline>
                              </w:rPr>
                              <w:t>a</w:t>
                            </w:r>
                            <w:r w:rsidRPr="005E0A20">
                              <w:rPr>
                                <w14:textOutline w14:w="9525" w14:cap="rnd" w14:cmpd="sng" w14:algn="ctr">
                                  <w14:noFill/>
                                  <w14:prstDash w14:val="solid"/>
                                  <w14:bevel/>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95EAEC" id="Text Box 16" o:spid="_x0000_s1035" type="#_x0000_t202" style="position:absolute;margin-left:42.4pt;margin-top:149.55pt;width:1in;height:26.5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" fillcolor="window" stroked="f" strokeweight=".5pt">
                <v:textbox>
                  <w:txbxContent>
                    <w:p w14:paraId="3A3BC6B8" w14:textId="77777777" w:rsidR="005B6418" w:rsidRPr="005E0A20" w:rsidRDefault="005B6418" w:rsidP="005B6418">
                      <w:pPr>
                        <w:rPr>
                          <w14:textOutline w14:w="9525" w14:cap="rnd" w14:cmpd="sng" w14:algn="ctr">
                            <w14:noFill/>
                            <w14:prstDash w14:val="solid"/>
                            <w14:bevel/>
                          </w14:textOutline>
                        </w:rPr>
                      </w:pPr>
                      <w:r w:rsidRPr="005E0A20">
                        <w:rPr>
                          <w14:textOutline w14:w="9525" w14:cap="rnd" w14:cmpd="sng" w14:algn="ctr">
                            <w14:noFill/>
                            <w14:prstDash w14:val="solid"/>
                            <w14:bevel/>
                          </w14:textOutline>
                        </w:rPr>
                        <w:t>(</w:t>
                      </w:r>
                      <w:r>
                        <w:rPr>
                          <w14:textOutline w14:w="9525" w14:cap="rnd" w14:cmpd="sng" w14:algn="ctr">
                            <w14:noFill/>
                            <w14:prstDash w14:val="solid"/>
                            <w14:bevel/>
                          </w14:textOutline>
                        </w:rPr>
                        <w:t>a</w:t>
                      </w:r>
                      <w:r w:rsidRPr="005E0A20">
                        <w:rPr>
                          <w14:textOutline w14:w="9525" w14:cap="rnd" w14:cmpd="sng" w14:algn="ctr">
                            <w14:noFill/>
                            <w14:prstDash w14:val="solid"/>
                            <w14:bevel/>
                          </w14:textOutline>
                        </w:rPr>
                        <w:t>)</w:t>
                      </w:r>
                    </w:p>
                  </w:txbxContent>
                </v:textbox>
              </v:shape>
            </w:pict>
          </mc:Fallback>
        </mc:AlternateContent>
      </w:r>
      <w:r w:rsidRPr="00A20A17">
        <w:rPr>
          <w:rFonts w:ascii="Calibri" w:eastAsia="Calibri" w:hAnsi="Calibri" w:cs="Times New Roman"/>
          <w:noProof/>
          <w:lang w:eastAsia="en-GB"/>
        </w:rPr>
        <w:drawing>
          <wp:inline distT="0" distB="0" distL="0" distR="0" wp14:anchorId="2F754073" wp14:editId="4036534B">
            <wp:extent cx="4330598" cy="2710776"/>
            <wp:effectExtent l="19050" t="19050" r="13335"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t="8029" r="3602"/>
                    <a:stretch/>
                  </pic:blipFill>
                  <pic:spPr bwMode="auto">
                    <a:xfrm>
                      <a:off x="0" y="0"/>
                      <a:ext cx="4369454" cy="2735098"/>
                    </a:xfrm>
                    <a:prstGeom prst="rect">
                      <a:avLst/>
                    </a:prstGeom>
                    <a:noFill/>
                    <a:ln w="12700">
                      <a:solidFill>
                        <a:sysClr val="windowText" lastClr="000000"/>
                      </a:solidFill>
                    </a:ln>
                    <a:extLst>
                      <a:ext uri="{53640926-AAD7-44D8-BBD7-CCE9431645EC}">
                        <a14:shadowObscured xmlns:a14="http://schemas.microsoft.com/office/drawing/2010/main"/>
                      </a:ext>
                    </a:extLst>
                  </pic:spPr>
                </pic:pic>
              </a:graphicData>
            </a:graphic>
          </wp:inline>
        </w:drawing>
      </w:r>
    </w:p>
    <w:p w14:paraId="73434A48" w14:textId="77777777" w:rsidR="005B6418" w:rsidRPr="00A20A17" w:rsidRDefault="005B6418" w:rsidP="005B6418">
      <w:pPr>
        <w:spacing w:after="120"/>
        <w:rPr>
          <w:rFonts w:eastAsia="Calibri" w:cs="Arial"/>
          <w:b/>
          <w:bCs/>
        </w:rPr>
      </w:pPr>
    </w:p>
    <w:p w14:paraId="7785A77C" w14:textId="77777777" w:rsidR="005B6418" w:rsidRPr="00A20A17" w:rsidRDefault="005B6418" w:rsidP="005B6418">
      <w:pPr>
        <w:spacing w:after="120"/>
        <w:rPr>
          <w:rFonts w:eastAsia="Calibri" w:cs="Arial"/>
          <w:b/>
          <w:bCs/>
        </w:rPr>
      </w:pPr>
    </w:p>
    <w:p w14:paraId="5D773FA6" w14:textId="77777777" w:rsidR="005B6418" w:rsidRPr="00A20A17" w:rsidRDefault="005B6418" w:rsidP="005B6418">
      <w:pPr>
        <w:spacing w:after="120"/>
        <w:rPr>
          <w:rFonts w:eastAsia="Calibri" w:cs="Arial"/>
          <w:b/>
          <w:bCs/>
        </w:rPr>
      </w:pPr>
    </w:p>
    <w:p w14:paraId="42D1AA08" w14:textId="77777777" w:rsidR="005B6418" w:rsidRPr="00A20A17" w:rsidRDefault="005B6418" w:rsidP="005B6418">
      <w:pPr>
        <w:spacing w:after="120"/>
        <w:rPr>
          <w:rFonts w:eastAsia="Calibri" w:cs="Arial"/>
          <w:b/>
          <w:bCs/>
        </w:rPr>
      </w:pPr>
    </w:p>
    <w:p w14:paraId="0074CFE0" w14:textId="77777777" w:rsidR="005B6418" w:rsidRPr="00A20A17" w:rsidRDefault="005B6418" w:rsidP="005B6418">
      <w:pPr>
        <w:spacing w:after="120"/>
        <w:rPr>
          <w:rFonts w:eastAsia="Calibri" w:cs="Arial"/>
          <w:b/>
          <w:bCs/>
        </w:rPr>
      </w:pPr>
    </w:p>
    <w:p w14:paraId="1C57651F" w14:textId="77777777" w:rsidR="005B6418" w:rsidRPr="00A20A17" w:rsidRDefault="005B6418" w:rsidP="005B6418">
      <w:pPr>
        <w:spacing w:after="120"/>
        <w:rPr>
          <w:rFonts w:eastAsia="Calibri" w:cs="Arial"/>
          <w:b/>
          <w:bCs/>
        </w:rPr>
      </w:pPr>
    </w:p>
    <w:p w14:paraId="5FCF1833" w14:textId="77777777" w:rsidR="005B6418" w:rsidRPr="00A20A17" w:rsidRDefault="005B6418" w:rsidP="005B6418">
      <w:pPr>
        <w:spacing w:after="120"/>
        <w:rPr>
          <w:rFonts w:eastAsia="Calibri" w:cs="Arial"/>
          <w:b/>
          <w:bCs/>
        </w:rPr>
      </w:pPr>
    </w:p>
    <w:p w14:paraId="26E03BE0" w14:textId="77777777" w:rsidR="005B6418" w:rsidRPr="00A20A17" w:rsidRDefault="005B6418" w:rsidP="005B6418">
      <w:pPr>
        <w:spacing w:after="120"/>
        <w:rPr>
          <w:rFonts w:eastAsia="Calibri" w:cs="Arial"/>
          <w:b/>
          <w:bCs/>
        </w:rPr>
      </w:pPr>
    </w:p>
    <w:p w14:paraId="0365CC5B" w14:textId="77777777" w:rsidR="005B6418" w:rsidRPr="00A20A17" w:rsidRDefault="005B6418" w:rsidP="005B6418">
      <w:pPr>
        <w:spacing w:after="160" w:line="259" w:lineRule="auto"/>
        <w:rPr>
          <w:rFonts w:eastAsia="Calibri" w:cs="Arial"/>
          <w:b/>
          <w:bCs/>
        </w:rPr>
      </w:pPr>
      <w:r w:rsidRPr="00A20A17">
        <w:rPr>
          <w:rFonts w:eastAsia="Calibri" w:cs="Arial"/>
          <w:b/>
          <w:bCs/>
        </w:rPr>
        <w:br w:type="page"/>
      </w:r>
    </w:p>
    <w:p w14:paraId="735D7993" w14:textId="77777777" w:rsidR="005B6418" w:rsidRPr="00A20A17" w:rsidRDefault="005B6418" w:rsidP="005B6418">
      <w:pPr>
        <w:spacing w:after="160" w:line="259" w:lineRule="auto"/>
        <w:rPr>
          <w:rFonts w:eastAsia="Calibri" w:cs="Arial"/>
          <w:b/>
          <w:bCs/>
          <w:sz w:val="28"/>
        </w:rPr>
      </w:pPr>
      <w:r w:rsidRPr="00A20A17">
        <w:rPr>
          <w:rFonts w:eastAsia="Calibri" w:cs="Arial"/>
          <w:b/>
          <w:bCs/>
          <w:sz w:val="28"/>
        </w:rPr>
        <w:t>References</w:t>
      </w:r>
    </w:p>
    <w:p w14:paraId="640DF748" w14:textId="77777777" w:rsidR="005B6418" w:rsidRPr="00A20A17" w:rsidRDefault="005B6418" w:rsidP="005B6418">
      <w:pPr>
        <w:spacing w:after="0" w:line="240" w:lineRule="auto"/>
        <w:rPr>
          <w:rFonts w:ascii="Calibri" w:eastAsia="Calibri" w:hAnsi="Calibri" w:cs="Calibri"/>
          <w:noProof/>
          <w:lang w:val="en-US"/>
        </w:rPr>
      </w:pPr>
      <w:r w:rsidRPr="00A20A17">
        <w:rPr>
          <w:rFonts w:eastAsia="Calibri" w:cs="Arial"/>
          <w:b/>
          <w:bCs/>
          <w:noProof/>
          <w:lang w:val="en-US"/>
        </w:rPr>
        <w:fldChar w:fldCharType="begin"/>
      </w:r>
      <w:r w:rsidRPr="00A20A17">
        <w:rPr>
          <w:rFonts w:eastAsia="Calibri" w:cs="Arial"/>
          <w:b/>
          <w:bCs/>
          <w:noProof/>
          <w:lang w:val="en-US"/>
        </w:rPr>
        <w:instrText xml:space="preserve"> ADDIN EN.REFLIST </w:instrText>
      </w:r>
      <w:r w:rsidRPr="00A20A17">
        <w:rPr>
          <w:rFonts w:eastAsia="Calibri" w:cs="Arial"/>
          <w:b/>
          <w:bCs/>
          <w:noProof/>
          <w:lang w:val="en-US"/>
        </w:rPr>
        <w:fldChar w:fldCharType="separate"/>
      </w:r>
      <w:r w:rsidRPr="00A20A17">
        <w:rPr>
          <w:rFonts w:ascii="Calibri" w:eastAsia="Calibri" w:hAnsi="Calibri" w:cs="Calibri"/>
          <w:noProof/>
          <w:lang w:val="en-US"/>
        </w:rPr>
        <w:t>1.</w:t>
      </w:r>
      <w:r w:rsidRPr="00A20A17">
        <w:rPr>
          <w:rFonts w:ascii="Calibri" w:eastAsia="Calibri" w:hAnsi="Calibri" w:cs="Calibri"/>
          <w:noProof/>
          <w:lang w:val="en-US"/>
        </w:rPr>
        <w:tab/>
        <w:t>Friedewald WT, Levy RI, Fredrickson DS. Estimation of the concentration of low-density lipoprotein cholesterol in plasma, without use of the preparative ultracentrifuge. Clinical chemistry: Oxford Academic; 1972. p. 499-502.</w:t>
      </w:r>
    </w:p>
    <w:p w14:paraId="06D4812B"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2.</w:t>
      </w:r>
      <w:r w:rsidRPr="00A20A17">
        <w:rPr>
          <w:rFonts w:ascii="Calibri" w:eastAsia="Calibri" w:hAnsi="Calibri" w:cs="Calibri"/>
          <w:noProof/>
          <w:lang w:val="en-US"/>
        </w:rPr>
        <w:tab/>
        <w:t>McTaggart F, Jones P. Effects of statins on high-density lipoproteins: a potential contribution to cardiovascular benefit. Cardiovasc Drugs Ther. 2008;22(4):321-38.</w:t>
      </w:r>
    </w:p>
    <w:p w14:paraId="216BF357"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3.</w:t>
      </w:r>
      <w:r w:rsidRPr="00A20A17">
        <w:rPr>
          <w:rFonts w:ascii="Calibri" w:eastAsia="Calibri" w:hAnsi="Calibri" w:cs="Calibri"/>
          <w:noProof/>
          <w:lang w:val="en-US"/>
        </w:rPr>
        <w:tab/>
        <w:t>Futema M, Kumari M, Boustred C, Kivimaki M, Humphries SE. Would raising the total cholesterol diagnostic cut-off from 7.5 mmol/L to 9.3 mmol/L improve detection rate of patients with monogenic familial hypercholesterolaemia? Atherosclerosis. 2015;239(2):295-8.</w:t>
      </w:r>
    </w:p>
    <w:p w14:paraId="4563043B"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4.</w:t>
      </w:r>
      <w:r w:rsidRPr="00A20A17">
        <w:rPr>
          <w:rFonts w:ascii="Calibri" w:eastAsia="Calibri" w:hAnsi="Calibri" w:cs="Calibri"/>
          <w:noProof/>
          <w:lang w:val="en-US"/>
        </w:rPr>
        <w:tab/>
        <w:t>Mach F, Baigent C, Catapano AL, Koskinas KC, Casula M, Badimon L, et al. 2019 ESC/EAS Guidelines for the management of dyslipidaemias: lipid modification to reduce cardiovascular risk: The Task Force for the management of dyslipidaemias of the European Society of Cardiology (ESC) and European Atherosclerosis Society (EAS). European Heart Journal. 2019;41(1):111-88.</w:t>
      </w:r>
    </w:p>
    <w:p w14:paraId="02A62B0C"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5.</w:t>
      </w:r>
      <w:r w:rsidRPr="00A20A17">
        <w:rPr>
          <w:rFonts w:ascii="Calibri" w:eastAsia="Calibri" w:hAnsi="Calibri" w:cs="Calibri"/>
          <w:noProof/>
          <w:lang w:val="en-US"/>
        </w:rPr>
        <w:tab/>
        <w:t>NICE. Clinical guideline 181. Lipid modification: cardiovascular risk assessment and the modification of blood lipids for the primary and secondary prevention of cardiovascular disease. 2014.</w:t>
      </w:r>
    </w:p>
    <w:p w14:paraId="3BCE1625"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6.</w:t>
      </w:r>
      <w:r w:rsidRPr="00A20A17">
        <w:rPr>
          <w:rFonts w:ascii="Calibri" w:eastAsia="Calibri" w:hAnsi="Calibri" w:cs="Calibri"/>
          <w:noProof/>
          <w:lang w:val="en-US"/>
        </w:rPr>
        <w:tab/>
        <w:t>NICE. Clinical guideline 71: identification and management of familial hypercholesterolaemia. London, Manchester: NICE; 2019.</w:t>
      </w:r>
    </w:p>
    <w:p w14:paraId="6C34586A"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7.</w:t>
      </w:r>
      <w:r w:rsidRPr="00A20A17">
        <w:rPr>
          <w:rFonts w:ascii="Calibri" w:eastAsia="Calibri" w:hAnsi="Calibri" w:cs="Calibri"/>
          <w:noProof/>
          <w:lang w:val="en-US"/>
        </w:rPr>
        <w:tab/>
        <w:t>van Buuren S, Groothuis-Oudshoorn K. mice: Multivariate Imputation by Chained Equations in R. 2011. 2011;45(3):67.</w:t>
      </w:r>
    </w:p>
    <w:p w14:paraId="2F30DC96"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8.</w:t>
      </w:r>
      <w:r w:rsidRPr="00A20A17">
        <w:rPr>
          <w:rFonts w:ascii="Calibri" w:eastAsia="Calibri" w:hAnsi="Calibri" w:cs="Calibri"/>
          <w:noProof/>
          <w:lang w:val="en-US"/>
        </w:rPr>
        <w:tab/>
        <w:t>Sullivan TR, White IR, Salter AB, Ryan P, Lee KJ. Should multiple imputation be the method of choice for handling missing data in randomized trials? Stat Methods Med Res. 2018;27(9):2610-26.</w:t>
      </w:r>
    </w:p>
    <w:p w14:paraId="008B268F"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9.</w:t>
      </w:r>
      <w:r w:rsidRPr="00A20A17">
        <w:rPr>
          <w:rFonts w:ascii="Calibri" w:eastAsia="Calibri" w:hAnsi="Calibri" w:cs="Calibri"/>
          <w:noProof/>
          <w:lang w:val="en-US"/>
        </w:rPr>
        <w:tab/>
        <w:t>von Hippel PT. How Many Imputations Do You Need? A Two-stage Calculation Using a Quadratic Rule. Sociological Methods &amp; Research. 2020;49(3):699-718.</w:t>
      </w:r>
    </w:p>
    <w:p w14:paraId="7552FB09"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10.</w:t>
      </w:r>
      <w:r w:rsidRPr="00A20A17">
        <w:rPr>
          <w:rFonts w:ascii="Calibri" w:eastAsia="Calibri" w:hAnsi="Calibri" w:cs="Calibri"/>
          <w:noProof/>
          <w:lang w:val="en-US"/>
        </w:rPr>
        <w:tab/>
        <w:t>Wu J, Zhu S, Yao GL, Mohammed MA, Marshall T. Patient factors influencing the prescribing of lipid lowering drugs for primary prevention of cardiovascular disease in UK general practice: a national retrospective cohort study. PLoS One. 2013;8(7):e67611.</w:t>
      </w:r>
    </w:p>
    <w:p w14:paraId="0B75863B"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11.</w:t>
      </w:r>
      <w:r w:rsidRPr="00A20A17">
        <w:rPr>
          <w:rFonts w:ascii="Calibri" w:eastAsia="Calibri" w:hAnsi="Calibri" w:cs="Calibri"/>
          <w:noProof/>
          <w:lang w:val="en-US"/>
        </w:rPr>
        <w:tab/>
        <w:t>Chowdhury R, Khan H, Heydon E, Shroufi A, Fahimi S, Moore C, et al. Adherence to cardiovascular therapy: a meta-analysis of prevalence and clinical consequences. Eur Heart J. 2013;34(38):2940-8.</w:t>
      </w:r>
    </w:p>
    <w:p w14:paraId="36AB2B20"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12.</w:t>
      </w:r>
      <w:r w:rsidRPr="00A20A17">
        <w:rPr>
          <w:rFonts w:ascii="Calibri" w:eastAsia="Calibri" w:hAnsi="Calibri" w:cs="Calibri"/>
          <w:noProof/>
          <w:lang w:val="en-US"/>
        </w:rPr>
        <w:tab/>
        <w:t>Mann DM, Woodward M, Muntner P, Falzon L, Kronish I. Predictors of nonadherence to statins: a systematic review and meta-analysis. Ann Pharmacother. 2010;44(9):1410-21.</w:t>
      </w:r>
    </w:p>
    <w:p w14:paraId="5FA22C1C"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13.</w:t>
      </w:r>
      <w:r w:rsidRPr="00A20A17">
        <w:rPr>
          <w:rFonts w:ascii="Calibri" w:eastAsia="Calibri" w:hAnsi="Calibri" w:cs="Calibri"/>
          <w:noProof/>
          <w:lang w:val="en-US"/>
        </w:rPr>
        <w:tab/>
        <w:t>NICE. Cardiovascular disease: risk assessment and reduction, including lipid modification. 2014.</w:t>
      </w:r>
    </w:p>
    <w:p w14:paraId="6B8324EE" w14:textId="77777777" w:rsidR="005B6418" w:rsidRPr="00A20A17" w:rsidRDefault="005B6418" w:rsidP="005B6418">
      <w:pPr>
        <w:spacing w:after="0" w:line="240" w:lineRule="auto"/>
        <w:rPr>
          <w:rFonts w:ascii="Calibri" w:eastAsia="Calibri" w:hAnsi="Calibri" w:cs="Calibri"/>
          <w:noProof/>
          <w:lang w:val="en-US"/>
        </w:rPr>
      </w:pPr>
      <w:r w:rsidRPr="00A20A17">
        <w:rPr>
          <w:rFonts w:ascii="Calibri" w:eastAsia="Calibri" w:hAnsi="Calibri" w:cs="Calibri"/>
          <w:noProof/>
          <w:lang w:val="en-US"/>
        </w:rPr>
        <w:t>14.</w:t>
      </w:r>
      <w:r w:rsidRPr="00A20A17">
        <w:rPr>
          <w:rFonts w:ascii="Calibri" w:eastAsia="Calibri" w:hAnsi="Calibri" w:cs="Calibri"/>
          <w:noProof/>
          <w:lang w:val="en-US"/>
        </w:rPr>
        <w:tab/>
        <w:t>Perak AM, Ning H, de Ferranti SD, Gooding HC, Wilkins JT, Lloyd-Jones DM. Long-Term Risk of Atherosclerotic Cardiovascular Disease in US Adults With the Familial Hypercholesterolemia Phenotype. Circulation. 2016;134(1):9-19.</w:t>
      </w:r>
    </w:p>
    <w:p w14:paraId="212CBAD8" w14:textId="77777777" w:rsidR="005B6418" w:rsidRPr="00A20A17" w:rsidRDefault="005B6418" w:rsidP="005B6418">
      <w:pPr>
        <w:spacing w:after="160" w:line="240" w:lineRule="auto"/>
        <w:rPr>
          <w:rFonts w:ascii="Calibri" w:eastAsia="Calibri" w:hAnsi="Calibri" w:cs="Calibri"/>
          <w:noProof/>
          <w:lang w:val="en-US"/>
        </w:rPr>
      </w:pPr>
      <w:r w:rsidRPr="00A20A17">
        <w:rPr>
          <w:rFonts w:ascii="Calibri" w:eastAsia="Calibri" w:hAnsi="Calibri" w:cs="Calibri"/>
          <w:noProof/>
          <w:lang w:val="en-US"/>
        </w:rPr>
        <w:t>15.</w:t>
      </w:r>
      <w:r w:rsidRPr="00A20A17">
        <w:rPr>
          <w:rFonts w:ascii="Calibri" w:eastAsia="Calibri" w:hAnsi="Calibri" w:cs="Calibri"/>
          <w:noProof/>
          <w:lang w:val="en-US"/>
        </w:rPr>
        <w:tab/>
        <w:t>Fulcher J, O'Connell R, Voysey M, Emberson J, Blackwell L, Mihaylova B, et al. Efficacy and safety of LDL-lowering therapy among men and women: meta-analysis of individual data from 174,000 participants in 27 randomised trials. Lancet. 2015;385(9976):1397-405.</w:t>
      </w:r>
    </w:p>
    <w:p w14:paraId="0588A9EE" w14:textId="7515357B" w:rsidR="00205720" w:rsidRDefault="005B6418" w:rsidP="00586800">
      <w:pPr>
        <w:spacing w:after="120"/>
      </w:pPr>
      <w:r w:rsidRPr="00A20A17">
        <w:rPr>
          <w:rFonts w:eastAsia="Calibri" w:cs="Arial"/>
          <w:b/>
          <w:bCs/>
        </w:rPr>
        <w:fldChar w:fldCharType="end"/>
      </w:r>
      <w:bookmarkStart w:id="0" w:name="_GoBack"/>
      <w:bookmarkEnd w:id="0"/>
    </w:p>
    <w:sectPr w:rsidR="002057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AD9D5" w14:textId="77777777" w:rsidR="005B6418" w:rsidRDefault="005B6418" w:rsidP="005B6418">
      <w:pPr>
        <w:spacing w:after="0" w:line="240" w:lineRule="auto"/>
      </w:pPr>
      <w:r>
        <w:separator/>
      </w:r>
    </w:p>
  </w:endnote>
  <w:endnote w:type="continuationSeparator" w:id="0">
    <w:p w14:paraId="797EC36E" w14:textId="77777777" w:rsidR="005B6418" w:rsidRDefault="005B6418" w:rsidP="005B6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64413" w14:textId="77777777" w:rsidR="005B6418" w:rsidRDefault="005B6418" w:rsidP="005B6418">
      <w:pPr>
        <w:spacing w:after="0" w:line="240" w:lineRule="auto"/>
      </w:pPr>
      <w:r>
        <w:separator/>
      </w:r>
    </w:p>
  </w:footnote>
  <w:footnote w:type="continuationSeparator" w:id="0">
    <w:p w14:paraId="1D1CA18D" w14:textId="77777777" w:rsidR="005B6418" w:rsidRDefault="005B6418" w:rsidP="005B6418">
      <w:pPr>
        <w:spacing w:after="0" w:line="240" w:lineRule="auto"/>
      </w:pPr>
      <w:r>
        <w:continuationSeparator/>
      </w:r>
    </w:p>
  </w:footnote>
  <w:footnote w:id="1">
    <w:p w14:paraId="6D42440F" w14:textId="77777777" w:rsidR="005B6418" w:rsidRDefault="005B6418" w:rsidP="005B6418">
      <w:pPr>
        <w:pStyle w:val="FootnoteText1"/>
      </w:pPr>
      <w:r>
        <w:rPr>
          <w:rStyle w:val="FootnoteReference"/>
        </w:rPr>
        <w:footnoteRef/>
      </w:r>
      <w:r>
        <w:t xml:space="preserve"> Adjusted for age, sex, race, body mass index, diabetes mellitus, smoking, systolic blood pressure, antihypertensive therapy, HDL-C, cholesterol treatment, and cohort.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1E42F1"/>
    <w:multiLevelType w:val="hybridMultilevel"/>
    <w:tmpl w:val="F1B074D4"/>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lvl>
    <w:lvl w:ilvl="2" w:tplc="C046D636">
      <w:start w:val="2"/>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8C5191"/>
    <w:multiLevelType w:val="hybridMultilevel"/>
    <w:tmpl w:val="C9BA5D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BE0094F"/>
    <w:multiLevelType w:val="hybridMultilevel"/>
    <w:tmpl w:val="68920828"/>
    <w:lvl w:ilvl="0" w:tplc="C2945E5C">
      <w:start w:val="1"/>
      <w:numFmt w:val="low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418"/>
    <w:rsid w:val="00334069"/>
    <w:rsid w:val="003A5207"/>
    <w:rsid w:val="00586800"/>
    <w:rsid w:val="005B6418"/>
    <w:rsid w:val="00705A6A"/>
    <w:rsid w:val="0074105A"/>
    <w:rsid w:val="00863E2F"/>
    <w:rsid w:val="008846D6"/>
    <w:rsid w:val="00BA4A05"/>
    <w:rsid w:val="00CB76BB"/>
    <w:rsid w:val="00DF1C41"/>
    <w:rsid w:val="00F067E3"/>
    <w:rsid w:val="00F42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26F87"/>
  <w15:chartTrackingRefBased/>
  <w15:docId w15:val="{7507E599-A6CC-45E7-A57B-317B3E11D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418"/>
    <w:pPr>
      <w:spacing w:after="200" w:line="276"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5B6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link w:val="FootnoteTextChar"/>
    <w:uiPriority w:val="99"/>
    <w:semiHidden/>
    <w:unhideWhenUsed/>
    <w:rsid w:val="005B6418"/>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1"/>
    <w:uiPriority w:val="99"/>
    <w:semiHidden/>
    <w:rsid w:val="005B6418"/>
    <w:rPr>
      <w:sz w:val="20"/>
      <w:szCs w:val="20"/>
    </w:rPr>
  </w:style>
  <w:style w:type="character" w:styleId="FootnoteReference">
    <w:name w:val="footnote reference"/>
    <w:basedOn w:val="DefaultParagraphFont"/>
    <w:uiPriority w:val="99"/>
    <w:semiHidden/>
    <w:unhideWhenUsed/>
    <w:rsid w:val="005B6418"/>
    <w:rPr>
      <w:vertAlign w:val="superscript"/>
    </w:rPr>
  </w:style>
  <w:style w:type="table" w:styleId="TableGrid">
    <w:name w:val="Table Grid"/>
    <w:basedOn w:val="TableNormal"/>
    <w:uiPriority w:val="39"/>
    <w:rsid w:val="005B6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1"/>
    <w:uiPriority w:val="99"/>
    <w:semiHidden/>
    <w:unhideWhenUsed/>
    <w:rsid w:val="005B641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5B6418"/>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e48567-5c38-4484-ab8d-ffc5a3dc364f">
      <Terms xmlns="http://schemas.microsoft.com/office/infopath/2007/PartnerControls"/>
    </lcf76f155ced4ddcb4097134ff3c332f>
    <TaxCatchAll xmlns="3fb502d1-52de-4b0e-a93c-31d17443b865" xsi:nil="true"/>
    <SharedWithUsers xmlns="3fb502d1-52de-4b0e-a93c-31d17443b865">
      <UserInfo>
        <DisplayName>William Evans</DisplayName>
        <AccountId>42</AccountId>
        <AccountType/>
      </UserInfo>
      <UserInfo>
        <DisplayName>William Evans (staff)</DisplayName>
        <AccountId>56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03378-FD9A-43FB-8F77-228CA6ECCE19}"/>
</file>

<file path=customXml/itemProps2.xml><?xml version="1.0" encoding="utf-8"?>
<ds:datastoreItem xmlns:ds="http://schemas.openxmlformats.org/officeDocument/2006/customXml" ds:itemID="{D19DA515-1B73-47C9-AEB0-7E1D34554A52}">
  <ds:schemaRefs>
    <ds:schemaRef ds:uri="http://schemas.microsoft.com/sharepoint/v3/contenttype/forms"/>
  </ds:schemaRefs>
</ds:datastoreItem>
</file>

<file path=customXml/itemProps3.xml><?xml version="1.0" encoding="utf-8"?>
<ds:datastoreItem xmlns:ds="http://schemas.openxmlformats.org/officeDocument/2006/customXml" ds:itemID="{92F4F19D-AAB3-498F-AA7E-5975D045DC4B}">
  <ds:schemaRefs>
    <ds:schemaRef ds:uri="786e620f-b1da-4f59-878c-ef7546d25bf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c1e910d-4918-42f1-af2c-ed1101d63abc"/>
    <ds:schemaRef ds:uri="http://www.w3.org/XML/1998/namespace"/>
    <ds:schemaRef ds:uri="http://purl.org/dc/dcmitype/"/>
  </ds:schemaRefs>
</ds:datastoreItem>
</file>

<file path=customXml/itemProps4.xml><?xml version="1.0" encoding="utf-8"?>
<ds:datastoreItem xmlns:ds="http://schemas.openxmlformats.org/officeDocument/2006/customXml" ds:itemID="{DF702731-1F24-4C95-94CF-CD7279D0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4555</Words>
  <Characters>25969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30464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Nadeem Qureshi (staff)</dc:creator>
  <cp:keywords/>
  <dc:description/>
  <cp:lastModifiedBy>Nadeem Qureshi (staff)</cp:lastModifiedBy>
  <cp:revision>2</cp:revision>
  <dcterms:created xsi:type="dcterms:W3CDTF">2022-06-26T08:03:00Z</dcterms:created>
  <dcterms:modified xsi:type="dcterms:W3CDTF">2022-06-26T08:04:00Z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y fmtid="{D5CDD505-2E9C-101B-9397-08002B2CF9AE}" pid="3" name="MediaServiceImageTags">
    <vt:lpwstr/>
  </property>
</Properties>
</file>